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6E" w:rsidRDefault="0092656E">
      <w:pPr>
        <w:pStyle w:val="BodyText"/>
      </w:pPr>
      <w:r>
        <w:t>TAKING IT ALL AWAY – TRAPS SET FOR DEBTORS TRYING TO DODGE THE TAXMAN</w:t>
      </w:r>
    </w:p>
    <w:p w:rsidR="0092656E" w:rsidRDefault="0092656E">
      <w:pPr>
        <w:jc w:val="center"/>
        <w:rPr>
          <w:b/>
          <w:sz w:val="24"/>
        </w:rPr>
      </w:pPr>
    </w:p>
    <w:p w:rsidR="00A1329C" w:rsidRDefault="00A1329C" w:rsidP="007B6D75">
      <w:pPr>
        <w:pStyle w:val="BodyText2"/>
        <w:spacing w:line="240" w:lineRule="auto"/>
        <w:ind w:left="720"/>
        <w:jc w:val="both"/>
      </w:pPr>
      <w:r>
        <w:t xml:space="preserve">The power to tax means little without the power to collect.  As a result, the </w:t>
      </w:r>
      <w:r w:rsidRPr="00A1329C">
        <w:rPr>
          <w:i/>
        </w:rPr>
        <w:t>Income Tax Act</w:t>
      </w:r>
      <w:r>
        <w:rPr>
          <w:i/>
        </w:rPr>
        <w:t xml:space="preserve"> </w:t>
      </w:r>
      <w:r>
        <w:t>provides a myriad of powers to collect taxes owed that would otherwise not be obtainable when taxpayers attempt to evade their creditors.</w:t>
      </w:r>
    </w:p>
    <w:p w:rsidR="007B6D75" w:rsidRDefault="007B6D75" w:rsidP="00A1329C">
      <w:pPr>
        <w:pStyle w:val="BodyText2"/>
        <w:jc w:val="both"/>
      </w:pPr>
    </w:p>
    <w:p w:rsidR="00A1329C" w:rsidRDefault="007B6D75">
      <w:pPr>
        <w:pStyle w:val="BodyText2"/>
      </w:pPr>
      <w:smartTag w:uri="urn:schemas-microsoft-com:office:smarttags" w:element="place">
        <w:smartTag w:uri="urn:schemas-microsoft-com:office:smarttags" w:element="country-region">
          <w:r>
            <w:t>Canada</w:t>
          </w:r>
        </w:smartTag>
      </w:smartTag>
      <w:r>
        <w:t xml:space="preserve"> v </w:t>
      </w:r>
      <w:proofErr w:type="gramStart"/>
      <w:r>
        <w:t>Livingston  2008</w:t>
      </w:r>
      <w:proofErr w:type="gramEnd"/>
      <w:r>
        <w:t xml:space="preserve"> FCA 89 </w:t>
      </w:r>
      <w:proofErr w:type="spellStart"/>
      <w:r>
        <w:t>CanLII</w:t>
      </w:r>
      <w:proofErr w:type="spellEnd"/>
    </w:p>
    <w:p w:rsidR="007B6D75" w:rsidRPr="00A1329C" w:rsidRDefault="007B6D75">
      <w:pPr>
        <w:pStyle w:val="BodyText2"/>
      </w:pPr>
    </w:p>
    <w:p w:rsidR="0092656E" w:rsidRDefault="0092656E">
      <w:pPr>
        <w:pStyle w:val="BodyText2"/>
      </w:pPr>
      <w:r>
        <w:t>While a debtor with tax debts can make as assignment into bankruptcy to extinguish those debts or make a proposal to creditors including tax debts</w:t>
      </w:r>
      <w:r w:rsidR="00C46BF6">
        <w:t>,</w:t>
      </w:r>
      <w:r>
        <w:t xml:space="preserve"> there are special </w:t>
      </w:r>
      <w:proofErr w:type="gramStart"/>
      <w:r>
        <w:t>provisions</w:t>
      </w:r>
      <w:proofErr w:type="gramEnd"/>
      <w:r>
        <w:t xml:space="preserve"> and legal principles that apply to </w:t>
      </w:r>
      <w:r w:rsidR="00C46BF6">
        <w:t xml:space="preserve">tax </w:t>
      </w:r>
      <w:r>
        <w:t xml:space="preserve">debts that </w:t>
      </w:r>
      <w:r w:rsidR="00C46BF6">
        <w:t>should be considered prior to an</w:t>
      </w:r>
      <w:r w:rsidR="007E7B01">
        <w:t>y</w:t>
      </w:r>
      <w:r w:rsidR="00C46BF6">
        <w:t xml:space="preserve"> insolvency filing.</w:t>
      </w:r>
    </w:p>
    <w:p w:rsidR="00710B74" w:rsidRDefault="00710B74">
      <w:pPr>
        <w:pStyle w:val="BodyText2"/>
      </w:pPr>
    </w:p>
    <w:p w:rsidR="00710B74" w:rsidRDefault="00710B74" w:rsidP="00710B74">
      <w:pPr>
        <w:spacing w:line="360" w:lineRule="auto"/>
        <w:rPr>
          <w:sz w:val="24"/>
        </w:rPr>
      </w:pPr>
      <w:r>
        <w:rPr>
          <w:sz w:val="24"/>
        </w:rPr>
        <w:t xml:space="preserve">If the tax debt is the </w:t>
      </w:r>
      <w:r w:rsidR="001C61C4">
        <w:rPr>
          <w:sz w:val="24"/>
        </w:rPr>
        <w:t xml:space="preserve">reason </w:t>
      </w:r>
      <w:r>
        <w:rPr>
          <w:sz w:val="24"/>
        </w:rPr>
        <w:t xml:space="preserve">why the debtor wants to make an </w:t>
      </w:r>
      <w:r w:rsidR="001C61C4">
        <w:rPr>
          <w:sz w:val="24"/>
        </w:rPr>
        <w:t xml:space="preserve">insolvency filing </w:t>
      </w:r>
      <w:r>
        <w:rPr>
          <w:sz w:val="24"/>
        </w:rPr>
        <w:t xml:space="preserve">it is prudent to consider the viability of an appeal from the </w:t>
      </w:r>
      <w:r w:rsidR="001C61C4">
        <w:rPr>
          <w:sz w:val="24"/>
        </w:rPr>
        <w:t xml:space="preserve">tax </w:t>
      </w:r>
      <w:r>
        <w:rPr>
          <w:sz w:val="24"/>
        </w:rPr>
        <w:t xml:space="preserve">assessment prior to the debtor making </w:t>
      </w:r>
      <w:r w:rsidR="001C61C4">
        <w:rPr>
          <w:sz w:val="24"/>
        </w:rPr>
        <w:t>the filing</w:t>
      </w:r>
      <w:r w:rsidR="007E7B01">
        <w:rPr>
          <w:sz w:val="24"/>
        </w:rPr>
        <w:t>,</w:t>
      </w:r>
      <w:r w:rsidR="001C61C4">
        <w:rPr>
          <w:sz w:val="24"/>
        </w:rPr>
        <w:t xml:space="preserve"> particularly if the debtor would not be insolvent </w:t>
      </w:r>
      <w:r>
        <w:rPr>
          <w:sz w:val="24"/>
        </w:rPr>
        <w:t>if the appeal is successful.</w:t>
      </w:r>
    </w:p>
    <w:p w:rsidR="0092656E" w:rsidRDefault="0092656E">
      <w:pPr>
        <w:spacing w:line="360" w:lineRule="auto"/>
        <w:rPr>
          <w:sz w:val="24"/>
        </w:rPr>
      </w:pPr>
    </w:p>
    <w:p w:rsidR="00E1174A" w:rsidRDefault="0092656E">
      <w:pPr>
        <w:spacing w:line="360" w:lineRule="auto"/>
        <w:rPr>
          <w:b/>
          <w:sz w:val="24"/>
        </w:rPr>
      </w:pPr>
      <w:r>
        <w:rPr>
          <w:b/>
          <w:sz w:val="24"/>
        </w:rPr>
        <w:t>WILL BANKRUPTCY SOLVE THE PROBLEM?</w:t>
      </w:r>
    </w:p>
    <w:p w:rsidR="004222BC" w:rsidRDefault="004222BC" w:rsidP="004222BC">
      <w:pPr>
        <w:spacing w:line="360" w:lineRule="auto"/>
        <w:rPr>
          <w:sz w:val="24"/>
        </w:rPr>
      </w:pPr>
    </w:p>
    <w:p w:rsidR="00C46BF6" w:rsidRDefault="004222BC" w:rsidP="004222BC">
      <w:pPr>
        <w:spacing w:line="360" w:lineRule="auto"/>
        <w:rPr>
          <w:sz w:val="24"/>
        </w:rPr>
      </w:pPr>
      <w:r>
        <w:rPr>
          <w:sz w:val="24"/>
        </w:rPr>
        <w:t xml:space="preserve">The </w:t>
      </w:r>
      <w:r w:rsidR="00967967">
        <w:rPr>
          <w:i/>
          <w:sz w:val="24"/>
        </w:rPr>
        <w:t>Bankruptcy and Insolvency Act</w:t>
      </w:r>
      <w:r w:rsidR="00C46BF6">
        <w:rPr>
          <w:i/>
          <w:sz w:val="24"/>
        </w:rPr>
        <w:t xml:space="preserve"> </w:t>
      </w:r>
      <w:r>
        <w:rPr>
          <w:sz w:val="24"/>
        </w:rPr>
        <w:t xml:space="preserve">binds the crown unless the debt is one that falls within s.178 and would survive the bankruptcy. </w:t>
      </w:r>
    </w:p>
    <w:p w:rsidR="004222BC" w:rsidRDefault="004222BC" w:rsidP="004222BC">
      <w:pPr>
        <w:spacing w:line="360" w:lineRule="auto"/>
        <w:rPr>
          <w:sz w:val="24"/>
        </w:rPr>
      </w:pPr>
      <w:proofErr w:type="gramStart"/>
      <w:r>
        <w:rPr>
          <w:sz w:val="24"/>
        </w:rPr>
        <w:t>s.4.1</w:t>
      </w:r>
      <w:proofErr w:type="gramEnd"/>
      <w:r>
        <w:rPr>
          <w:sz w:val="24"/>
        </w:rPr>
        <w:t xml:space="preserve"> </w:t>
      </w:r>
      <w:r>
        <w:rPr>
          <w:i/>
          <w:sz w:val="24"/>
        </w:rPr>
        <w:t>Bankruptcy and Insolvency Ac</w:t>
      </w:r>
      <w:r w:rsidR="007E7B01">
        <w:rPr>
          <w:i/>
          <w:sz w:val="24"/>
        </w:rPr>
        <w:t>t</w:t>
      </w:r>
      <w:r w:rsidR="00C46BF6">
        <w:rPr>
          <w:i/>
          <w:sz w:val="24"/>
        </w:rPr>
        <w:t>;</w:t>
      </w:r>
      <w:r>
        <w:rPr>
          <w:sz w:val="24"/>
        </w:rPr>
        <w:t xml:space="preserve">.  </w:t>
      </w:r>
      <w:proofErr w:type="spellStart"/>
      <w:proofErr w:type="gramStart"/>
      <w:r>
        <w:rPr>
          <w:i/>
          <w:sz w:val="24"/>
        </w:rPr>
        <w:t>Threlfall</w:t>
      </w:r>
      <w:proofErr w:type="spellEnd"/>
      <w:r>
        <w:rPr>
          <w:i/>
          <w:sz w:val="24"/>
        </w:rPr>
        <w:t xml:space="preserve"> v. Rossi</w:t>
      </w:r>
      <w:r>
        <w:rPr>
          <w:sz w:val="24"/>
        </w:rPr>
        <w:t xml:space="preserve">, 1937 19 CBR 80 </w:t>
      </w:r>
      <w:r w:rsidR="001C61C4">
        <w:rPr>
          <w:sz w:val="24"/>
        </w:rPr>
        <w:t>(</w:t>
      </w:r>
      <w:r>
        <w:rPr>
          <w:sz w:val="24"/>
        </w:rPr>
        <w:t>Que</w:t>
      </w:r>
      <w:r w:rsidR="001C61C4">
        <w:rPr>
          <w:sz w:val="24"/>
        </w:rPr>
        <w:t>.</w:t>
      </w:r>
      <w:r w:rsidR="007E7B01">
        <w:rPr>
          <w:sz w:val="24"/>
        </w:rPr>
        <w:t xml:space="preserve"> </w:t>
      </w:r>
      <w:r>
        <w:rPr>
          <w:sz w:val="24"/>
        </w:rPr>
        <w:t>S</w:t>
      </w:r>
      <w:r w:rsidR="001C61C4">
        <w:rPr>
          <w:sz w:val="24"/>
        </w:rPr>
        <w:t>.</w:t>
      </w:r>
      <w:r>
        <w:rPr>
          <w:sz w:val="24"/>
        </w:rPr>
        <w:t xml:space="preserve"> C.</w:t>
      </w:r>
      <w:r w:rsidR="001C61C4">
        <w:rPr>
          <w:sz w:val="24"/>
        </w:rPr>
        <w:t>)</w:t>
      </w:r>
      <w:proofErr w:type="gramEnd"/>
    </w:p>
    <w:p w:rsidR="004222BC" w:rsidRDefault="004222BC" w:rsidP="004222BC">
      <w:pPr>
        <w:spacing w:line="360" w:lineRule="auto"/>
        <w:rPr>
          <w:sz w:val="24"/>
        </w:rPr>
      </w:pPr>
    </w:p>
    <w:p w:rsidR="00C46BF6" w:rsidRDefault="00C46BF6" w:rsidP="004222BC">
      <w:pPr>
        <w:spacing w:line="360" w:lineRule="auto"/>
        <w:rPr>
          <w:sz w:val="24"/>
        </w:rPr>
      </w:pPr>
      <w:r>
        <w:rPr>
          <w:sz w:val="24"/>
        </w:rPr>
        <w:t xml:space="preserve">However, while the debt owing by the bankrupt taxpayer may be extinguished by the bankruptcy, a bankruptcy does not prevent Canada Revenue Agency </w:t>
      </w:r>
      <w:r w:rsidR="001C61C4">
        <w:rPr>
          <w:sz w:val="24"/>
        </w:rPr>
        <w:t xml:space="preserve">(“CRA”) </w:t>
      </w:r>
      <w:r>
        <w:rPr>
          <w:sz w:val="24"/>
        </w:rPr>
        <w:t xml:space="preserve">from pursuing its remedies against directors of a bankrupt company and its right to collect from parties related to the bankrupt taxpayer who have received transfers of assets from the taxpayer for less than fair market value.  </w:t>
      </w:r>
    </w:p>
    <w:p w:rsidR="00C46BF6" w:rsidRDefault="00C46BF6" w:rsidP="004222BC">
      <w:pPr>
        <w:spacing w:line="360" w:lineRule="auto"/>
        <w:rPr>
          <w:sz w:val="24"/>
        </w:rPr>
      </w:pPr>
    </w:p>
    <w:p w:rsidR="004222BC" w:rsidRDefault="00C46BF6" w:rsidP="004222BC">
      <w:pPr>
        <w:spacing w:line="360" w:lineRule="auto"/>
        <w:rPr>
          <w:sz w:val="24"/>
        </w:rPr>
      </w:pPr>
      <w:r>
        <w:rPr>
          <w:sz w:val="24"/>
        </w:rPr>
        <w:t xml:space="preserve">A bankrupt </w:t>
      </w:r>
      <w:r w:rsidR="004222BC">
        <w:rPr>
          <w:sz w:val="24"/>
        </w:rPr>
        <w:t xml:space="preserve">can appeal an assessment during the course of the bankruptcy.  </w:t>
      </w:r>
      <w:proofErr w:type="spellStart"/>
      <w:proofErr w:type="gramStart"/>
      <w:r w:rsidR="004222BC">
        <w:rPr>
          <w:i/>
          <w:sz w:val="24"/>
        </w:rPr>
        <w:t>Sinnot</w:t>
      </w:r>
      <w:proofErr w:type="spellEnd"/>
      <w:r w:rsidR="004222BC">
        <w:rPr>
          <w:i/>
          <w:sz w:val="24"/>
        </w:rPr>
        <w:t xml:space="preserve"> v. R</w:t>
      </w:r>
      <w:r w:rsidR="004222BC">
        <w:rPr>
          <w:sz w:val="24"/>
        </w:rPr>
        <w:t xml:space="preserve"> 2002 CBR 4</w:t>
      </w:r>
      <w:r w:rsidR="004222BC">
        <w:rPr>
          <w:sz w:val="24"/>
          <w:vertAlign w:val="superscript"/>
        </w:rPr>
        <w:t>th</w:t>
      </w:r>
      <w:r w:rsidR="004222BC">
        <w:rPr>
          <w:sz w:val="24"/>
        </w:rPr>
        <w:t xml:space="preserve"> 151 (T</w:t>
      </w:r>
      <w:r w:rsidR="001C61C4">
        <w:rPr>
          <w:sz w:val="24"/>
        </w:rPr>
        <w:t>.C.C.</w:t>
      </w:r>
      <w:r w:rsidR="004222BC">
        <w:rPr>
          <w:sz w:val="24"/>
        </w:rPr>
        <w:t>).</w:t>
      </w:r>
      <w:proofErr w:type="gramEnd"/>
    </w:p>
    <w:p w:rsidR="001C61C4" w:rsidRDefault="001C61C4" w:rsidP="004222BC">
      <w:pPr>
        <w:spacing w:line="360" w:lineRule="auto"/>
        <w:rPr>
          <w:sz w:val="24"/>
        </w:rPr>
      </w:pPr>
    </w:p>
    <w:p w:rsidR="001C61C4" w:rsidRPr="001C61C4" w:rsidRDefault="001C61C4" w:rsidP="004222BC">
      <w:pPr>
        <w:spacing w:line="360" w:lineRule="auto"/>
        <w:rPr>
          <w:b/>
          <w:sz w:val="24"/>
        </w:rPr>
      </w:pPr>
      <w:r>
        <w:rPr>
          <w:b/>
          <w:sz w:val="24"/>
        </w:rPr>
        <w:t xml:space="preserve">Collection of Taxes </w:t>
      </w:r>
      <w:proofErr w:type="gramStart"/>
      <w:r>
        <w:rPr>
          <w:b/>
          <w:sz w:val="24"/>
        </w:rPr>
        <w:t>From</w:t>
      </w:r>
      <w:proofErr w:type="gramEnd"/>
      <w:r>
        <w:rPr>
          <w:b/>
          <w:sz w:val="24"/>
        </w:rPr>
        <w:t xml:space="preserve"> Parties Related To The Debtor   </w:t>
      </w:r>
    </w:p>
    <w:p w:rsidR="001C61C4" w:rsidRDefault="001C61C4" w:rsidP="00710B74">
      <w:pPr>
        <w:rPr>
          <w:sz w:val="24"/>
        </w:rPr>
      </w:pPr>
    </w:p>
    <w:p w:rsidR="00710B74" w:rsidRPr="001C61C4" w:rsidRDefault="00C46BF6" w:rsidP="001C61C4">
      <w:pPr>
        <w:spacing w:line="360" w:lineRule="auto"/>
        <w:rPr>
          <w:sz w:val="24"/>
        </w:rPr>
      </w:pPr>
      <w:r>
        <w:rPr>
          <w:sz w:val="24"/>
        </w:rPr>
        <w:t xml:space="preserve">Even if the tax debtor is bankrupt, </w:t>
      </w:r>
      <w:r w:rsidR="001C61C4">
        <w:rPr>
          <w:sz w:val="24"/>
        </w:rPr>
        <w:t>CRA</w:t>
      </w:r>
      <w:r>
        <w:rPr>
          <w:sz w:val="24"/>
        </w:rPr>
        <w:t xml:space="preserve"> may pursue other persons related to the bankrupt pursuant to s.160 of the </w:t>
      </w:r>
      <w:r w:rsidRPr="001C61C4">
        <w:rPr>
          <w:sz w:val="24"/>
        </w:rPr>
        <w:t>Income Tax Act</w:t>
      </w:r>
      <w:r>
        <w:rPr>
          <w:sz w:val="24"/>
        </w:rPr>
        <w:t xml:space="preserve"> </w:t>
      </w:r>
      <w:r w:rsidR="00710B74">
        <w:rPr>
          <w:sz w:val="24"/>
        </w:rPr>
        <w:t>(</w:t>
      </w:r>
      <w:r>
        <w:rPr>
          <w:sz w:val="24"/>
        </w:rPr>
        <w:t xml:space="preserve">or section 325 of the </w:t>
      </w:r>
      <w:r w:rsidRPr="001C61C4">
        <w:rPr>
          <w:sz w:val="24"/>
        </w:rPr>
        <w:t>Excise Tax Act</w:t>
      </w:r>
      <w:r w:rsidR="00710B74">
        <w:rPr>
          <w:sz w:val="24"/>
        </w:rPr>
        <w:t>)</w:t>
      </w:r>
      <w:r>
        <w:rPr>
          <w:sz w:val="24"/>
        </w:rPr>
        <w:t>.  The purpose of the</w:t>
      </w:r>
      <w:r w:rsidR="00710B74">
        <w:rPr>
          <w:sz w:val="24"/>
        </w:rPr>
        <w:t>se</w:t>
      </w:r>
      <w:r>
        <w:rPr>
          <w:sz w:val="24"/>
        </w:rPr>
        <w:t xml:space="preserve"> section</w:t>
      </w:r>
      <w:r w:rsidR="00710B74">
        <w:rPr>
          <w:sz w:val="24"/>
        </w:rPr>
        <w:t>s</w:t>
      </w:r>
      <w:r>
        <w:rPr>
          <w:sz w:val="24"/>
        </w:rPr>
        <w:t xml:space="preserve"> is </w:t>
      </w:r>
      <w:r w:rsidR="007E7B01" w:rsidRPr="001C61C4">
        <w:rPr>
          <w:sz w:val="24"/>
        </w:rPr>
        <w:t>to preserve the value of the existing assets of the taxpayer for collection by CRA</w:t>
      </w:r>
      <w:r w:rsidR="007E7B01">
        <w:rPr>
          <w:sz w:val="24"/>
        </w:rPr>
        <w:t xml:space="preserve"> by pr</w:t>
      </w:r>
      <w:r>
        <w:rPr>
          <w:sz w:val="24"/>
        </w:rPr>
        <w:t>event</w:t>
      </w:r>
      <w:r w:rsidR="007E7B01">
        <w:rPr>
          <w:sz w:val="24"/>
        </w:rPr>
        <w:t>ing</w:t>
      </w:r>
      <w:r>
        <w:rPr>
          <w:sz w:val="24"/>
        </w:rPr>
        <w:t xml:space="preserve"> a taxpayer from transferring property to a spouse or other non-arm’s length individual in order to thwart the Minister’s efforts to collect taxes</w:t>
      </w:r>
      <w:r w:rsidR="00710B74">
        <w:rPr>
          <w:sz w:val="24"/>
        </w:rPr>
        <w:t xml:space="preserve"> and</w:t>
      </w:r>
      <w:r w:rsidR="00710B74" w:rsidRPr="001C61C4">
        <w:rPr>
          <w:sz w:val="24"/>
        </w:rPr>
        <w:t>.</w:t>
      </w:r>
    </w:p>
    <w:p w:rsidR="00710B74" w:rsidRDefault="00710B74" w:rsidP="00710B74">
      <w:pPr>
        <w:rPr>
          <w:spacing w:val="-3"/>
          <w:sz w:val="24"/>
          <w:szCs w:val="24"/>
          <w:lang/>
        </w:rPr>
      </w:pPr>
    </w:p>
    <w:p w:rsidR="00C46BF6" w:rsidRDefault="00EA5182" w:rsidP="00710B74">
      <w:pPr>
        <w:pStyle w:val="BodyText2"/>
        <w:rPr>
          <w:lang/>
        </w:rPr>
      </w:pPr>
      <w:r w:rsidRPr="002A7A1A">
        <w:rPr>
          <w:i/>
          <w:iCs/>
          <w:spacing w:val="-3"/>
          <w:szCs w:val="24"/>
          <w:lang/>
        </w:rPr>
        <w:t xml:space="preserve">Raphael v. </w:t>
      </w:r>
      <w:proofErr w:type="gramStart"/>
      <w:r w:rsidRPr="002A7A1A">
        <w:rPr>
          <w:i/>
          <w:iCs/>
          <w:spacing w:val="-3"/>
          <w:szCs w:val="24"/>
          <w:lang/>
        </w:rPr>
        <w:t>Canada</w:t>
      </w:r>
      <w:r w:rsidRPr="002A7A1A">
        <w:rPr>
          <w:spacing w:val="-3"/>
          <w:szCs w:val="24"/>
          <w:lang/>
        </w:rPr>
        <w:t xml:space="preserve"> </w:t>
      </w:r>
      <w:r w:rsidR="001C61C4">
        <w:rPr>
          <w:spacing w:val="-3"/>
          <w:szCs w:val="24"/>
          <w:lang/>
        </w:rPr>
        <w:t xml:space="preserve"> </w:t>
      </w:r>
      <w:r w:rsidRPr="002A7A1A">
        <w:rPr>
          <w:spacing w:val="-3"/>
          <w:szCs w:val="24"/>
          <w:lang/>
        </w:rPr>
        <w:t>2002</w:t>
      </w:r>
      <w:proofErr w:type="gramEnd"/>
      <w:r w:rsidRPr="002A7A1A">
        <w:rPr>
          <w:spacing w:val="-3"/>
          <w:szCs w:val="24"/>
          <w:lang/>
        </w:rPr>
        <w:t xml:space="preserve"> FCA 23.);</w:t>
      </w:r>
      <w:r w:rsidR="00710B74">
        <w:rPr>
          <w:lang/>
        </w:rPr>
        <w:t xml:space="preserve"> </w:t>
      </w:r>
      <w:smartTag w:uri="urn:schemas-microsoft-com:office:smarttags" w:element="country-region">
        <w:r w:rsidR="00710B74">
          <w:t>Canada</w:t>
        </w:r>
      </w:smartTag>
      <w:r w:rsidR="00710B74">
        <w:t xml:space="preserve"> v Livingston  2008 FCA 89 </w:t>
      </w:r>
      <w:proofErr w:type="spellStart"/>
      <w:r w:rsidR="00710B74">
        <w:t>CanLII</w:t>
      </w:r>
      <w:proofErr w:type="spellEnd"/>
      <w:r w:rsidR="00710B74">
        <w:t xml:space="preserve">; </w:t>
      </w:r>
      <w:proofErr w:type="spellStart"/>
      <w:r w:rsidR="00C46BF6" w:rsidRPr="00BE3EB1">
        <w:rPr>
          <w:i/>
          <w:iCs/>
          <w:lang/>
        </w:rPr>
        <w:t>Medland</w:t>
      </w:r>
      <w:proofErr w:type="spellEnd"/>
      <w:r w:rsidR="00C46BF6" w:rsidRPr="00BE3EB1">
        <w:rPr>
          <w:i/>
          <w:iCs/>
          <w:lang/>
        </w:rPr>
        <w:t xml:space="preserve"> v. Canada</w:t>
      </w:r>
      <w:r w:rsidR="00C46BF6" w:rsidRPr="00BE3EB1">
        <w:rPr>
          <w:lang/>
        </w:rPr>
        <w:t xml:space="preserve"> 98 DTC 6358 (F.C.A.) </w:t>
      </w:r>
      <w:proofErr w:type="spellStart"/>
      <w:r w:rsidR="00C46BF6" w:rsidRPr="00BE3EB1">
        <w:rPr>
          <w:i/>
          <w:iCs/>
          <w:lang/>
        </w:rPr>
        <w:t>Heavyside</w:t>
      </w:r>
      <w:proofErr w:type="spellEnd"/>
      <w:r w:rsidR="00C46BF6" w:rsidRPr="00BE3EB1">
        <w:rPr>
          <w:i/>
          <w:iCs/>
          <w:lang/>
        </w:rPr>
        <w:t xml:space="preserve"> v. </w:t>
      </w:r>
      <w:smartTag w:uri="urn:schemas-microsoft-com:office:smarttags" w:element="place">
        <w:smartTag w:uri="urn:schemas-microsoft-com:office:smarttags" w:element="country-region">
          <w:r w:rsidR="00C46BF6" w:rsidRPr="00BE3EB1">
            <w:rPr>
              <w:i/>
              <w:iCs/>
              <w:lang/>
            </w:rPr>
            <w:t>Canada</w:t>
          </w:r>
        </w:smartTag>
      </w:smartTag>
      <w:r w:rsidR="00C46BF6" w:rsidRPr="00BE3EB1">
        <w:rPr>
          <w:lang/>
        </w:rPr>
        <w:t xml:space="preserve"> </w:t>
      </w:r>
      <w:bookmarkStart w:id="0" w:name="reflex-caselaw-34489158"/>
      <w:bookmarkEnd w:id="0"/>
      <w:r w:rsidR="00C46BF6" w:rsidRPr="00BE3EB1">
        <w:rPr>
          <w:lang/>
        </w:rPr>
        <w:t>[1996] F.C.J. No. 1608 (</w:t>
      </w:r>
      <w:r w:rsidR="001C61C4">
        <w:rPr>
          <w:lang/>
        </w:rPr>
        <w:t>F.</w:t>
      </w:r>
      <w:r w:rsidR="00C46BF6" w:rsidRPr="00BE3EB1">
        <w:rPr>
          <w:lang/>
        </w:rPr>
        <w:t xml:space="preserve">C.A.) (QL)  </w:t>
      </w:r>
    </w:p>
    <w:p w:rsidR="00C46BF6" w:rsidRDefault="00C46BF6" w:rsidP="00C46BF6">
      <w:pPr>
        <w:rPr>
          <w:spacing w:val="-3"/>
          <w:sz w:val="24"/>
          <w:szCs w:val="24"/>
          <w:lang/>
        </w:rPr>
      </w:pPr>
    </w:p>
    <w:p w:rsidR="00710B74" w:rsidRDefault="00710B74" w:rsidP="00C46BF6">
      <w:pPr>
        <w:rPr>
          <w:spacing w:val="-3"/>
          <w:sz w:val="24"/>
          <w:szCs w:val="24"/>
          <w:lang/>
        </w:rPr>
      </w:pPr>
      <w:r>
        <w:rPr>
          <w:spacing w:val="-3"/>
          <w:sz w:val="24"/>
          <w:szCs w:val="24"/>
          <w:lang/>
        </w:rPr>
        <w:t xml:space="preserve">For a section 160 assessment to be raised: </w:t>
      </w:r>
    </w:p>
    <w:p w:rsidR="001C61C4" w:rsidRDefault="001C61C4" w:rsidP="00C46BF6">
      <w:pPr>
        <w:rPr>
          <w:spacing w:val="-3"/>
          <w:sz w:val="24"/>
          <w:szCs w:val="24"/>
          <w:lang/>
        </w:rPr>
      </w:pPr>
    </w:p>
    <w:p w:rsidR="00710B74" w:rsidRPr="002A7A1A" w:rsidRDefault="00710B74" w:rsidP="00710B74">
      <w:pPr>
        <w:ind w:left="1440" w:hanging="360"/>
        <w:rPr>
          <w:rFonts w:ascii="CG Times" w:hAnsi="CG Times"/>
          <w:spacing w:val="-3"/>
          <w:sz w:val="24"/>
          <w:szCs w:val="24"/>
          <w:lang/>
        </w:rPr>
      </w:pPr>
      <w:r w:rsidRPr="002A7A1A">
        <w:rPr>
          <w:spacing w:val="-3"/>
          <w:sz w:val="24"/>
          <w:szCs w:val="24"/>
          <w:lang/>
        </w:rPr>
        <w:t>1)</w:t>
      </w:r>
      <w:r w:rsidRPr="002A7A1A">
        <w:rPr>
          <w:spacing w:val="-3"/>
          <w:sz w:val="14"/>
          <w:szCs w:val="14"/>
          <w:lang/>
        </w:rPr>
        <w:t xml:space="preserve">      </w:t>
      </w:r>
      <w:r w:rsidRPr="002A7A1A">
        <w:rPr>
          <w:spacing w:val="-3"/>
          <w:sz w:val="24"/>
          <w:szCs w:val="24"/>
          <w:lang/>
        </w:rPr>
        <w:t>There must be a transfer of property;</w:t>
      </w:r>
    </w:p>
    <w:p w:rsidR="00710B74" w:rsidRPr="002A7A1A" w:rsidRDefault="00710B74" w:rsidP="00710B74">
      <w:pPr>
        <w:ind w:left="1440" w:hanging="360"/>
        <w:rPr>
          <w:rFonts w:ascii="CG Times" w:hAnsi="CG Times"/>
          <w:spacing w:val="-3"/>
          <w:sz w:val="24"/>
          <w:szCs w:val="24"/>
          <w:lang/>
        </w:rPr>
      </w:pPr>
      <w:r w:rsidRPr="002A7A1A">
        <w:rPr>
          <w:spacing w:val="-3"/>
          <w:sz w:val="24"/>
          <w:szCs w:val="24"/>
          <w:lang/>
        </w:rPr>
        <w:t>2)</w:t>
      </w:r>
      <w:r w:rsidRPr="002A7A1A">
        <w:rPr>
          <w:spacing w:val="-3"/>
          <w:sz w:val="14"/>
          <w:szCs w:val="14"/>
          <w:lang/>
        </w:rPr>
        <w:t xml:space="preserve">      </w:t>
      </w:r>
      <w:r w:rsidRPr="002A7A1A">
        <w:rPr>
          <w:spacing w:val="-3"/>
          <w:sz w:val="24"/>
          <w:szCs w:val="24"/>
          <w:lang/>
        </w:rPr>
        <w:t>The parties must not be dealing at arm’s length;</w:t>
      </w:r>
    </w:p>
    <w:p w:rsidR="00710B74" w:rsidRPr="002A7A1A" w:rsidRDefault="00710B74" w:rsidP="00710B74">
      <w:pPr>
        <w:ind w:left="1440" w:hanging="360"/>
        <w:rPr>
          <w:rFonts w:ascii="CG Times" w:hAnsi="CG Times"/>
          <w:spacing w:val="-3"/>
          <w:sz w:val="24"/>
          <w:szCs w:val="24"/>
          <w:lang/>
        </w:rPr>
      </w:pPr>
      <w:r w:rsidRPr="002A7A1A">
        <w:rPr>
          <w:spacing w:val="-3"/>
          <w:sz w:val="24"/>
          <w:szCs w:val="24"/>
          <w:lang/>
        </w:rPr>
        <w:t>3)</w:t>
      </w:r>
      <w:r w:rsidRPr="002A7A1A">
        <w:rPr>
          <w:spacing w:val="-3"/>
          <w:sz w:val="14"/>
          <w:szCs w:val="14"/>
          <w:lang/>
        </w:rPr>
        <w:t xml:space="preserve">      </w:t>
      </w:r>
      <w:r w:rsidRPr="002A7A1A">
        <w:rPr>
          <w:spacing w:val="-3"/>
          <w:sz w:val="24"/>
          <w:szCs w:val="24"/>
          <w:lang/>
        </w:rPr>
        <w:t>There must be no consideration or inadequate consideration flowing from the transferee to the transferor and</w:t>
      </w:r>
    </w:p>
    <w:p w:rsidR="00710B74" w:rsidRDefault="00710B74" w:rsidP="00710B74">
      <w:pPr>
        <w:ind w:left="1440" w:hanging="360"/>
        <w:rPr>
          <w:spacing w:val="-3"/>
          <w:sz w:val="24"/>
          <w:szCs w:val="24"/>
          <w:lang/>
        </w:rPr>
      </w:pPr>
      <w:r w:rsidRPr="002A7A1A">
        <w:rPr>
          <w:spacing w:val="-3"/>
          <w:sz w:val="24"/>
          <w:szCs w:val="24"/>
          <w:lang/>
        </w:rPr>
        <w:t>4)</w:t>
      </w:r>
      <w:r w:rsidRPr="002A7A1A">
        <w:rPr>
          <w:spacing w:val="-3"/>
          <w:sz w:val="14"/>
          <w:szCs w:val="14"/>
          <w:lang/>
        </w:rPr>
        <w:t xml:space="preserve">      </w:t>
      </w:r>
      <w:r w:rsidRPr="002A7A1A">
        <w:rPr>
          <w:spacing w:val="-3"/>
          <w:sz w:val="24"/>
          <w:szCs w:val="24"/>
          <w:lang/>
        </w:rPr>
        <w:t>The transferor must be liable to pay tax under the Act at th</w:t>
      </w:r>
      <w:r>
        <w:rPr>
          <w:spacing w:val="-3"/>
          <w:sz w:val="24"/>
          <w:szCs w:val="24"/>
          <w:lang/>
        </w:rPr>
        <w:t>e</w:t>
      </w:r>
      <w:r w:rsidRPr="002A7A1A">
        <w:rPr>
          <w:spacing w:val="-3"/>
          <w:sz w:val="24"/>
          <w:szCs w:val="24"/>
          <w:lang/>
        </w:rPr>
        <w:t xml:space="preserve"> time</w:t>
      </w:r>
      <w:r>
        <w:rPr>
          <w:spacing w:val="-3"/>
          <w:sz w:val="24"/>
          <w:szCs w:val="24"/>
          <w:lang/>
        </w:rPr>
        <w:t xml:space="preserve"> of the transfer</w:t>
      </w:r>
      <w:r w:rsidRPr="002A7A1A">
        <w:rPr>
          <w:spacing w:val="-3"/>
          <w:sz w:val="24"/>
          <w:szCs w:val="24"/>
          <w:lang/>
        </w:rPr>
        <w:t>.</w:t>
      </w:r>
    </w:p>
    <w:p w:rsidR="00710B74" w:rsidRDefault="00710B74" w:rsidP="00C46BF6">
      <w:pPr>
        <w:rPr>
          <w:spacing w:val="-3"/>
          <w:sz w:val="24"/>
          <w:szCs w:val="24"/>
          <w:lang/>
        </w:rPr>
      </w:pPr>
    </w:p>
    <w:p w:rsidR="00710B74" w:rsidRDefault="00710B74" w:rsidP="00710B74">
      <w:pPr>
        <w:pStyle w:val="BodyText2"/>
      </w:pPr>
      <w:r w:rsidRPr="002A7A1A">
        <w:rPr>
          <w:i/>
          <w:iCs/>
          <w:spacing w:val="-3"/>
          <w:szCs w:val="24"/>
          <w:lang/>
        </w:rPr>
        <w:t xml:space="preserve">Raphael v. </w:t>
      </w:r>
      <w:smartTag w:uri="urn:schemas-microsoft-com:office:smarttags" w:element="country-region">
        <w:r w:rsidRPr="002A7A1A">
          <w:rPr>
            <w:i/>
            <w:iCs/>
            <w:spacing w:val="-3"/>
            <w:szCs w:val="24"/>
            <w:lang/>
          </w:rPr>
          <w:t>Canada</w:t>
        </w:r>
      </w:smartTag>
      <w:r w:rsidRPr="002A7A1A">
        <w:rPr>
          <w:spacing w:val="-3"/>
          <w:szCs w:val="24"/>
          <w:lang/>
        </w:rPr>
        <w:t xml:space="preserve"> </w:t>
      </w:r>
      <w:bookmarkStart w:id="1" w:name="reflex-caselaw-3285285"/>
      <w:r w:rsidRPr="002A7A1A">
        <w:rPr>
          <w:rFonts w:ascii="CG Times" w:hAnsi="CG Times"/>
          <w:spacing w:val="-3"/>
          <w:szCs w:val="24"/>
          <w:lang/>
        </w:rPr>
        <w:fldChar w:fldCharType="begin"/>
      </w:r>
      <w:r w:rsidRPr="002A7A1A">
        <w:rPr>
          <w:rFonts w:ascii="CG Times" w:hAnsi="CG Times"/>
          <w:spacing w:val="-3"/>
          <w:szCs w:val="24"/>
          <w:lang/>
        </w:rPr>
        <w:instrText xml:space="preserve"> HYPERLINK "http://www.canlii.org/en/ca/fca/doc/2002/2002fca23/2002fca23.html" </w:instrText>
      </w:r>
      <w:r w:rsidRPr="002A7A1A">
        <w:rPr>
          <w:rFonts w:ascii="CG Times" w:hAnsi="CG Times"/>
          <w:spacing w:val="-3"/>
          <w:szCs w:val="24"/>
          <w:lang/>
        </w:rPr>
        <w:fldChar w:fldCharType="separate"/>
      </w:r>
      <w:r w:rsidRPr="002A7A1A">
        <w:rPr>
          <w:rFonts w:ascii="CG Times" w:hAnsi="CG Times"/>
          <w:color w:val="0000FF"/>
          <w:spacing w:val="-3"/>
          <w:szCs w:val="24"/>
          <w:u w:val="single"/>
          <w:lang/>
        </w:rPr>
        <w:t>2002 FCA 23 (</w:t>
      </w:r>
      <w:proofErr w:type="spellStart"/>
      <w:r w:rsidRPr="002A7A1A">
        <w:rPr>
          <w:rFonts w:ascii="CG Times" w:hAnsi="CG Times"/>
          <w:color w:val="0000FF"/>
          <w:spacing w:val="-3"/>
          <w:szCs w:val="24"/>
          <w:u w:val="single"/>
          <w:lang/>
        </w:rPr>
        <w:t>CanLII</w:t>
      </w:r>
      <w:proofErr w:type="spellEnd"/>
      <w:r w:rsidRPr="002A7A1A">
        <w:rPr>
          <w:rFonts w:ascii="CG Times" w:hAnsi="CG Times"/>
          <w:color w:val="0000FF"/>
          <w:spacing w:val="-3"/>
          <w:szCs w:val="24"/>
          <w:u w:val="single"/>
          <w:lang/>
        </w:rPr>
        <w:t>)</w:t>
      </w:r>
      <w:r w:rsidRPr="002A7A1A">
        <w:rPr>
          <w:rFonts w:ascii="CG Times" w:hAnsi="CG Times"/>
          <w:spacing w:val="-3"/>
          <w:szCs w:val="24"/>
          <w:lang/>
        </w:rPr>
        <w:fldChar w:fldCharType="end"/>
      </w:r>
      <w:bookmarkEnd w:id="1"/>
      <w:r w:rsidRPr="002A7A1A">
        <w:rPr>
          <w:rFonts w:ascii="CG Times" w:hAnsi="CG Times"/>
          <w:spacing w:val="-3"/>
          <w:szCs w:val="24"/>
          <w:lang/>
        </w:rPr>
        <w:t xml:space="preserve">, </w:t>
      </w:r>
      <w:r w:rsidRPr="002A7A1A">
        <w:rPr>
          <w:spacing w:val="-3"/>
          <w:szCs w:val="24"/>
          <w:lang/>
        </w:rPr>
        <w:t>2002 FCA 23.);</w:t>
      </w:r>
      <w:r>
        <w:rPr>
          <w:spacing w:val="-3"/>
          <w:szCs w:val="24"/>
          <w:lang/>
        </w:rPr>
        <w:t xml:space="preserve"> </w:t>
      </w:r>
      <w:smartTag w:uri="urn:schemas-microsoft-com:office:smarttags" w:element="place">
        <w:smartTag w:uri="urn:schemas-microsoft-com:office:smarttags" w:element="country-region">
          <w:r>
            <w:t>Canada</w:t>
          </w:r>
        </w:smartTag>
      </w:smartTag>
      <w:r>
        <w:t xml:space="preserve"> v </w:t>
      </w:r>
      <w:proofErr w:type="gramStart"/>
      <w:r>
        <w:t>Livingston  2008</w:t>
      </w:r>
      <w:proofErr w:type="gramEnd"/>
      <w:r>
        <w:t xml:space="preserve"> FCA 89 </w:t>
      </w:r>
      <w:proofErr w:type="spellStart"/>
      <w:r>
        <w:t>CanLII</w:t>
      </w:r>
      <w:proofErr w:type="spellEnd"/>
    </w:p>
    <w:p w:rsidR="00C46BF6" w:rsidRDefault="00C46BF6" w:rsidP="00C46BF6">
      <w:pPr>
        <w:rPr>
          <w:spacing w:val="-3"/>
          <w:sz w:val="24"/>
          <w:szCs w:val="24"/>
          <w:lang/>
        </w:rPr>
      </w:pPr>
      <w:r w:rsidRPr="00BE3EB1">
        <w:rPr>
          <w:spacing w:val="-3"/>
          <w:sz w:val="24"/>
          <w:szCs w:val="24"/>
          <w:lang/>
        </w:rPr>
        <w:t> </w:t>
      </w:r>
    </w:p>
    <w:p w:rsidR="00C46BF6" w:rsidRPr="001C61C4" w:rsidRDefault="00C46BF6" w:rsidP="001C61C4">
      <w:pPr>
        <w:spacing w:line="360" w:lineRule="auto"/>
        <w:rPr>
          <w:sz w:val="24"/>
        </w:rPr>
      </w:pPr>
      <w:r w:rsidRPr="001C61C4">
        <w:rPr>
          <w:sz w:val="24"/>
        </w:rPr>
        <w:t>While the intention of the parties to defraud CRA as a creditor is relev</w:t>
      </w:r>
      <w:r w:rsidR="001C61C4" w:rsidRPr="001C61C4">
        <w:rPr>
          <w:sz w:val="24"/>
        </w:rPr>
        <w:t>a</w:t>
      </w:r>
      <w:r w:rsidRPr="001C61C4">
        <w:rPr>
          <w:sz w:val="24"/>
        </w:rPr>
        <w:t xml:space="preserve">nt, the assessment </w:t>
      </w:r>
      <w:r w:rsidR="001C61C4" w:rsidRPr="001C61C4">
        <w:rPr>
          <w:sz w:val="24"/>
        </w:rPr>
        <w:t>may</w:t>
      </w:r>
      <w:r w:rsidRPr="001C61C4">
        <w:rPr>
          <w:sz w:val="24"/>
        </w:rPr>
        <w:t xml:space="preserve"> be upheld even if there is no such intention and when the transferee is unaware of the tax debt.</w:t>
      </w:r>
    </w:p>
    <w:p w:rsidR="00C46BF6" w:rsidRDefault="00C46BF6" w:rsidP="00C46BF6">
      <w:pPr>
        <w:rPr>
          <w:spacing w:val="-3"/>
          <w:sz w:val="24"/>
          <w:szCs w:val="24"/>
          <w:lang/>
        </w:rPr>
      </w:pPr>
    </w:p>
    <w:p w:rsidR="00C46BF6" w:rsidRPr="00BE3EB1" w:rsidRDefault="00C46BF6" w:rsidP="00C46BF6">
      <w:pPr>
        <w:rPr>
          <w:rFonts w:ascii="CG Times" w:hAnsi="CG Times"/>
          <w:spacing w:val="-3"/>
          <w:sz w:val="24"/>
          <w:szCs w:val="24"/>
          <w:lang/>
        </w:rPr>
      </w:pPr>
      <w:r w:rsidRPr="00BE3EB1">
        <w:rPr>
          <w:spacing w:val="-3"/>
          <w:sz w:val="14"/>
          <w:szCs w:val="14"/>
          <w:lang/>
        </w:rPr>
        <w:t xml:space="preserve"> </w:t>
      </w:r>
      <w:proofErr w:type="spellStart"/>
      <w:r w:rsidRPr="00BE3EB1">
        <w:rPr>
          <w:i/>
          <w:iCs/>
          <w:spacing w:val="-3"/>
          <w:sz w:val="24"/>
          <w:szCs w:val="24"/>
          <w:lang/>
        </w:rPr>
        <w:t>Wannan</w:t>
      </w:r>
      <w:proofErr w:type="spellEnd"/>
      <w:r w:rsidRPr="00BE3EB1">
        <w:rPr>
          <w:i/>
          <w:iCs/>
          <w:spacing w:val="-3"/>
          <w:sz w:val="24"/>
          <w:szCs w:val="24"/>
          <w:lang/>
        </w:rPr>
        <w:t xml:space="preserve"> v. </w:t>
      </w:r>
      <w:smartTag w:uri="urn:schemas-microsoft-com:office:smarttags" w:element="place">
        <w:smartTag w:uri="urn:schemas-microsoft-com:office:smarttags" w:element="country-region">
          <w:r w:rsidRPr="00BE3EB1">
            <w:rPr>
              <w:i/>
              <w:iCs/>
              <w:spacing w:val="-3"/>
              <w:sz w:val="24"/>
              <w:szCs w:val="24"/>
              <w:lang/>
            </w:rPr>
            <w:t>Canada</w:t>
          </w:r>
        </w:smartTag>
      </w:smartTag>
      <w:r w:rsidRPr="00BE3EB1">
        <w:rPr>
          <w:spacing w:val="-3"/>
          <w:sz w:val="24"/>
          <w:szCs w:val="24"/>
          <w:lang/>
        </w:rPr>
        <w:t xml:space="preserve"> </w:t>
      </w:r>
      <w:bookmarkStart w:id="2" w:name="reflex-caselaw-3285287"/>
      <w:r w:rsidRPr="00BE3EB1">
        <w:rPr>
          <w:rFonts w:ascii="CG Times" w:hAnsi="CG Times"/>
          <w:spacing w:val="-3"/>
          <w:sz w:val="24"/>
          <w:szCs w:val="24"/>
          <w:lang/>
        </w:rPr>
        <w:fldChar w:fldCharType="begin"/>
      </w:r>
      <w:r w:rsidRPr="00BE3EB1">
        <w:rPr>
          <w:rFonts w:ascii="CG Times" w:hAnsi="CG Times"/>
          <w:spacing w:val="-3"/>
          <w:sz w:val="24"/>
          <w:szCs w:val="24"/>
          <w:lang/>
        </w:rPr>
        <w:instrText xml:space="preserve"> HYPERLINK "http://www.canlii.org/en/ca/fca/doc/2003/2003fca423/2003fca423.html" </w:instrText>
      </w:r>
      <w:r w:rsidRPr="00BE3EB1">
        <w:rPr>
          <w:rFonts w:ascii="CG Times" w:hAnsi="CG Times"/>
          <w:spacing w:val="-3"/>
          <w:sz w:val="24"/>
          <w:szCs w:val="24"/>
          <w:lang/>
        </w:rPr>
        <w:fldChar w:fldCharType="separate"/>
      </w:r>
      <w:r w:rsidRPr="00BE3EB1">
        <w:rPr>
          <w:rFonts w:ascii="CG Times" w:hAnsi="CG Times"/>
          <w:color w:val="0000FF"/>
          <w:spacing w:val="-3"/>
          <w:sz w:val="24"/>
          <w:szCs w:val="24"/>
          <w:u w:val="single"/>
          <w:lang/>
        </w:rPr>
        <w:t>2003 FCA 423 (</w:t>
      </w:r>
      <w:proofErr w:type="spellStart"/>
      <w:r w:rsidRPr="00BE3EB1">
        <w:rPr>
          <w:rFonts w:ascii="CG Times" w:hAnsi="CG Times"/>
          <w:color w:val="0000FF"/>
          <w:spacing w:val="-3"/>
          <w:sz w:val="24"/>
          <w:szCs w:val="24"/>
          <w:u w:val="single"/>
          <w:lang/>
        </w:rPr>
        <w:t>CanLII</w:t>
      </w:r>
      <w:proofErr w:type="spellEnd"/>
      <w:r w:rsidRPr="00BE3EB1">
        <w:rPr>
          <w:rFonts w:ascii="CG Times" w:hAnsi="CG Times"/>
          <w:color w:val="0000FF"/>
          <w:spacing w:val="-3"/>
          <w:sz w:val="24"/>
          <w:szCs w:val="24"/>
          <w:u w:val="single"/>
          <w:lang/>
        </w:rPr>
        <w:t>)</w:t>
      </w:r>
      <w:r w:rsidRPr="00BE3EB1">
        <w:rPr>
          <w:rFonts w:ascii="CG Times" w:hAnsi="CG Times"/>
          <w:spacing w:val="-3"/>
          <w:sz w:val="24"/>
          <w:szCs w:val="24"/>
          <w:lang/>
        </w:rPr>
        <w:fldChar w:fldCharType="end"/>
      </w:r>
      <w:bookmarkEnd w:id="2"/>
      <w:r w:rsidRPr="00BE3EB1">
        <w:rPr>
          <w:rFonts w:ascii="CG Times" w:hAnsi="CG Times"/>
          <w:spacing w:val="-3"/>
          <w:sz w:val="24"/>
          <w:szCs w:val="24"/>
          <w:lang/>
        </w:rPr>
        <w:t xml:space="preserve">, </w:t>
      </w:r>
      <w:r w:rsidRPr="00BE3EB1">
        <w:rPr>
          <w:spacing w:val="-3"/>
          <w:sz w:val="24"/>
          <w:szCs w:val="24"/>
          <w:lang/>
        </w:rPr>
        <w:t xml:space="preserve">2003 FCA 423 </w:t>
      </w:r>
    </w:p>
    <w:p w:rsidR="00C46BF6" w:rsidRDefault="00C46BF6" w:rsidP="00C46BF6">
      <w:pPr>
        <w:ind w:left="1440" w:hanging="360"/>
        <w:rPr>
          <w:spacing w:val="-3"/>
          <w:sz w:val="24"/>
          <w:szCs w:val="24"/>
          <w:lang/>
        </w:rPr>
      </w:pPr>
    </w:p>
    <w:p w:rsidR="00C46BF6" w:rsidRPr="001C61C4" w:rsidRDefault="00C46BF6" w:rsidP="001C61C4">
      <w:pPr>
        <w:spacing w:line="360" w:lineRule="auto"/>
        <w:rPr>
          <w:sz w:val="24"/>
        </w:rPr>
      </w:pPr>
      <w:r w:rsidRPr="001C61C4">
        <w:rPr>
          <w:sz w:val="24"/>
        </w:rPr>
        <w:t>The section imposes absolute liability</w:t>
      </w:r>
      <w:r w:rsidR="007E7B01">
        <w:rPr>
          <w:sz w:val="24"/>
        </w:rPr>
        <w:t>;</w:t>
      </w:r>
      <w:r w:rsidRPr="001C61C4">
        <w:rPr>
          <w:sz w:val="24"/>
        </w:rPr>
        <w:t xml:space="preserve"> </w:t>
      </w:r>
      <w:r w:rsidR="007E7B01">
        <w:rPr>
          <w:sz w:val="24"/>
        </w:rPr>
        <w:t>t</w:t>
      </w:r>
      <w:r w:rsidRPr="001C61C4">
        <w:rPr>
          <w:sz w:val="24"/>
        </w:rPr>
        <w:t>here is no due diligence defence</w:t>
      </w:r>
      <w:r w:rsidR="007E7B01">
        <w:rPr>
          <w:sz w:val="24"/>
        </w:rPr>
        <w:t>.</w:t>
      </w:r>
    </w:p>
    <w:p w:rsidR="00C46BF6" w:rsidRDefault="00C46BF6" w:rsidP="00A61152">
      <w:pPr>
        <w:pStyle w:val="NormalWeb"/>
        <w:rPr>
          <w:color w:val="000000"/>
          <w:lang/>
        </w:rPr>
      </w:pPr>
      <w:r w:rsidRPr="001C61C4">
        <w:rPr>
          <w:i/>
          <w:color w:val="000000"/>
          <w:lang/>
        </w:rPr>
        <w:t>Waugh v the Queen</w:t>
      </w:r>
      <w:r>
        <w:rPr>
          <w:color w:val="000000"/>
          <w:lang/>
        </w:rPr>
        <w:t xml:space="preserve"> 2007 TCC 494 </w:t>
      </w:r>
    </w:p>
    <w:p w:rsidR="00710B74" w:rsidRPr="001C61C4" w:rsidRDefault="00710B74" w:rsidP="001C61C4">
      <w:pPr>
        <w:spacing w:line="360" w:lineRule="auto"/>
        <w:rPr>
          <w:sz w:val="24"/>
        </w:rPr>
      </w:pPr>
      <w:r w:rsidRPr="001C61C4">
        <w:rPr>
          <w:sz w:val="24"/>
        </w:rPr>
        <w:lastRenderedPageBreak/>
        <w:t>The section applies even if the taxpayer maintains some control over transferred funds</w:t>
      </w:r>
      <w:r w:rsidR="007E7B01">
        <w:rPr>
          <w:sz w:val="24"/>
        </w:rPr>
        <w:t xml:space="preserve"> its purpose </w:t>
      </w:r>
      <w:r w:rsidRPr="001C61C4">
        <w:rPr>
          <w:sz w:val="24"/>
        </w:rPr>
        <w:t xml:space="preserve">would be defeated where a transferor allows a transferee to use the money to pay the debts of the transferor for the purpose of preferring certain creditors over the </w:t>
      </w:r>
      <w:proofErr w:type="gramStart"/>
      <w:r w:rsidRPr="001C61C4">
        <w:rPr>
          <w:sz w:val="24"/>
        </w:rPr>
        <w:t>CRA .</w:t>
      </w:r>
      <w:proofErr w:type="gramEnd"/>
      <w:r w:rsidRPr="001C61C4">
        <w:rPr>
          <w:sz w:val="24"/>
        </w:rPr>
        <w:t xml:space="preserve">  </w:t>
      </w:r>
    </w:p>
    <w:p w:rsidR="007E7B01" w:rsidRDefault="007E7B01" w:rsidP="00710B74">
      <w:pPr>
        <w:spacing w:line="360" w:lineRule="auto"/>
        <w:rPr>
          <w:i/>
          <w:spacing w:val="-3"/>
          <w:sz w:val="24"/>
          <w:szCs w:val="24"/>
          <w:lang/>
        </w:rPr>
      </w:pPr>
    </w:p>
    <w:p w:rsidR="00710B74" w:rsidRDefault="00710B74" w:rsidP="00710B74">
      <w:pPr>
        <w:spacing w:line="360" w:lineRule="auto"/>
        <w:rPr>
          <w:sz w:val="24"/>
        </w:rPr>
      </w:pPr>
      <w:smartTag w:uri="urn:schemas-microsoft-com:office:smarttags" w:element="place">
        <w:r w:rsidRPr="001C61C4">
          <w:rPr>
            <w:i/>
            <w:spacing w:val="-3"/>
            <w:sz w:val="24"/>
            <w:szCs w:val="24"/>
            <w:lang/>
          </w:rPr>
          <w:t>Livings</w:t>
        </w:r>
        <w:r w:rsidR="00FD446C" w:rsidRPr="001C61C4">
          <w:rPr>
            <w:i/>
            <w:spacing w:val="-3"/>
            <w:sz w:val="24"/>
            <w:szCs w:val="24"/>
            <w:lang/>
          </w:rPr>
          <w:t>t</w:t>
        </w:r>
        <w:r w:rsidRPr="001C61C4">
          <w:rPr>
            <w:i/>
            <w:spacing w:val="-3"/>
            <w:sz w:val="24"/>
            <w:szCs w:val="24"/>
            <w:lang/>
          </w:rPr>
          <w:t>on</w:t>
        </w:r>
      </w:smartTag>
      <w:r>
        <w:rPr>
          <w:spacing w:val="-3"/>
          <w:sz w:val="24"/>
          <w:szCs w:val="24"/>
          <w:lang/>
        </w:rPr>
        <w:t xml:space="preserve"> supra;</w:t>
      </w:r>
    </w:p>
    <w:p w:rsidR="007E7B01" w:rsidRDefault="007E7B01" w:rsidP="001C61C4">
      <w:pPr>
        <w:spacing w:line="360" w:lineRule="auto"/>
        <w:rPr>
          <w:sz w:val="24"/>
        </w:rPr>
      </w:pPr>
    </w:p>
    <w:p w:rsidR="007E7B01" w:rsidRDefault="00A61152" w:rsidP="007E7B01">
      <w:pPr>
        <w:spacing w:before="100" w:beforeAutospacing="1" w:after="100" w:afterAutospacing="1" w:line="360" w:lineRule="auto"/>
        <w:rPr>
          <w:color w:val="000000"/>
          <w:sz w:val="24"/>
          <w:szCs w:val="24"/>
          <w:lang/>
        </w:rPr>
      </w:pPr>
      <w:r w:rsidRPr="001C61C4">
        <w:rPr>
          <w:sz w:val="24"/>
        </w:rPr>
        <w:t xml:space="preserve">Once the conditions of </w:t>
      </w:r>
      <w:r w:rsidR="00710B74" w:rsidRPr="001C61C4">
        <w:rPr>
          <w:sz w:val="24"/>
        </w:rPr>
        <w:t>s</w:t>
      </w:r>
      <w:r w:rsidRPr="001C61C4">
        <w:rPr>
          <w:sz w:val="24"/>
        </w:rPr>
        <w:t xml:space="preserve">ection </w:t>
      </w:r>
      <w:r w:rsidR="00710B74" w:rsidRPr="001C61C4">
        <w:rPr>
          <w:sz w:val="24"/>
        </w:rPr>
        <w:t>160</w:t>
      </w:r>
      <w:r w:rsidR="007E7B01">
        <w:rPr>
          <w:sz w:val="24"/>
        </w:rPr>
        <w:t xml:space="preserve"> have been met</w:t>
      </w:r>
      <w:r w:rsidR="001C61C4" w:rsidRPr="001C61C4">
        <w:rPr>
          <w:sz w:val="24"/>
        </w:rPr>
        <w:t>,</w:t>
      </w:r>
      <w:r w:rsidR="00710B74" w:rsidRPr="001C61C4">
        <w:rPr>
          <w:sz w:val="24"/>
        </w:rPr>
        <w:t xml:space="preserve"> </w:t>
      </w:r>
      <w:r w:rsidRPr="001C61C4">
        <w:rPr>
          <w:sz w:val="24"/>
        </w:rPr>
        <w:t>the transferee becomes personally liable to pay the tax determined under that section</w:t>
      </w:r>
      <w:r w:rsidR="00710B74" w:rsidRPr="001C61C4">
        <w:rPr>
          <w:sz w:val="24"/>
        </w:rPr>
        <w:t>.</w:t>
      </w:r>
      <w:r w:rsidRPr="001C61C4">
        <w:rPr>
          <w:sz w:val="24"/>
        </w:rPr>
        <w:t xml:space="preserve"> T</w:t>
      </w:r>
      <w:r w:rsidR="00710B74" w:rsidRPr="001C61C4">
        <w:rPr>
          <w:sz w:val="24"/>
        </w:rPr>
        <w:t>he</w:t>
      </w:r>
      <w:r w:rsidRPr="001C61C4">
        <w:rPr>
          <w:sz w:val="24"/>
        </w:rPr>
        <w:t xml:space="preserve"> liability is </w:t>
      </w:r>
      <w:proofErr w:type="gramStart"/>
      <w:r w:rsidRPr="001C61C4">
        <w:rPr>
          <w:sz w:val="24"/>
        </w:rPr>
        <w:t>joint</w:t>
      </w:r>
      <w:proofErr w:type="gramEnd"/>
      <w:r w:rsidRPr="001C61C4">
        <w:rPr>
          <w:sz w:val="24"/>
        </w:rPr>
        <w:t xml:space="preserve"> and several with that of the transferor</w:t>
      </w:r>
      <w:r w:rsidR="00710B74" w:rsidRPr="001C61C4">
        <w:rPr>
          <w:sz w:val="24"/>
        </w:rPr>
        <w:t xml:space="preserve"> and </w:t>
      </w:r>
      <w:r w:rsidR="001C61C4" w:rsidRPr="001C61C4">
        <w:rPr>
          <w:sz w:val="24"/>
        </w:rPr>
        <w:t>w</w:t>
      </w:r>
      <w:r w:rsidRPr="001C61C4">
        <w:rPr>
          <w:sz w:val="24"/>
        </w:rPr>
        <w:t xml:space="preserve">ill only disappear with </w:t>
      </w:r>
      <w:r w:rsidR="00710B74" w:rsidRPr="001C61C4">
        <w:rPr>
          <w:sz w:val="24"/>
        </w:rPr>
        <w:t>payment</w:t>
      </w:r>
      <w:r w:rsidR="007E7B01">
        <w:rPr>
          <w:sz w:val="24"/>
        </w:rPr>
        <w:t>.</w:t>
      </w:r>
      <w:r w:rsidRPr="001C61C4">
        <w:rPr>
          <w:sz w:val="24"/>
        </w:rPr>
        <w:t xml:space="preserve"> </w:t>
      </w:r>
      <w:r w:rsidR="00710B74" w:rsidRPr="001C61C4">
        <w:rPr>
          <w:sz w:val="24"/>
        </w:rPr>
        <w:t>T</w:t>
      </w:r>
      <w:r w:rsidRPr="001C61C4">
        <w:rPr>
          <w:sz w:val="24"/>
        </w:rPr>
        <w:t xml:space="preserve">he </w:t>
      </w:r>
      <w:r w:rsidR="00710B74" w:rsidRPr="001C61C4">
        <w:rPr>
          <w:sz w:val="24"/>
        </w:rPr>
        <w:t xml:space="preserve">transferor’s </w:t>
      </w:r>
      <w:r w:rsidRPr="001C61C4">
        <w:rPr>
          <w:sz w:val="24"/>
        </w:rPr>
        <w:t xml:space="preserve">discharge from bankruptcy relieves </w:t>
      </w:r>
      <w:r w:rsidR="007E7B01">
        <w:rPr>
          <w:sz w:val="24"/>
        </w:rPr>
        <w:t xml:space="preserve">that person </w:t>
      </w:r>
      <w:r w:rsidRPr="001C61C4">
        <w:rPr>
          <w:sz w:val="24"/>
        </w:rPr>
        <w:t xml:space="preserve">from paying </w:t>
      </w:r>
      <w:r w:rsidR="007E7B01">
        <w:rPr>
          <w:sz w:val="24"/>
        </w:rPr>
        <w:t xml:space="preserve">CRA </w:t>
      </w:r>
      <w:r w:rsidRPr="001C61C4">
        <w:rPr>
          <w:sz w:val="24"/>
        </w:rPr>
        <w:t xml:space="preserve">the amount due </w:t>
      </w:r>
      <w:r w:rsidR="00710B74" w:rsidRPr="001C61C4">
        <w:rPr>
          <w:sz w:val="24"/>
        </w:rPr>
        <w:t>b</w:t>
      </w:r>
      <w:r w:rsidRPr="001C61C4">
        <w:rPr>
          <w:sz w:val="24"/>
        </w:rPr>
        <w:t>ut the order of discharge does not extinguish the debt</w:t>
      </w:r>
      <w:r w:rsidR="00710B74" w:rsidRPr="001C61C4">
        <w:rPr>
          <w:sz w:val="24"/>
        </w:rPr>
        <w:t xml:space="preserve"> and </w:t>
      </w:r>
      <w:r w:rsidRPr="001C61C4">
        <w:rPr>
          <w:sz w:val="24"/>
        </w:rPr>
        <w:t xml:space="preserve">does not affect the liability of the </w:t>
      </w:r>
      <w:r w:rsidR="00710B74" w:rsidRPr="001C61C4">
        <w:rPr>
          <w:sz w:val="24"/>
        </w:rPr>
        <w:t xml:space="preserve">transferee </w:t>
      </w:r>
      <w:r w:rsidRPr="001C61C4">
        <w:rPr>
          <w:sz w:val="24"/>
        </w:rPr>
        <w:t xml:space="preserve">who is jointly bound. </w:t>
      </w:r>
      <w:r w:rsidR="007E7B01">
        <w:rPr>
          <w:sz w:val="24"/>
        </w:rPr>
        <w:t xml:space="preserve"> </w:t>
      </w:r>
      <w:r w:rsidR="007E7B01">
        <w:rPr>
          <w:color w:val="000000"/>
          <w:sz w:val="24"/>
          <w:szCs w:val="24"/>
          <w:lang/>
        </w:rPr>
        <w:t>S</w:t>
      </w:r>
      <w:r w:rsidR="007E7B01" w:rsidRPr="00B72686">
        <w:rPr>
          <w:color w:val="000000"/>
          <w:sz w:val="24"/>
          <w:szCs w:val="24"/>
          <w:lang/>
        </w:rPr>
        <w:t xml:space="preserve">ection 160 </w:t>
      </w:r>
      <w:r w:rsidR="007E7B01">
        <w:rPr>
          <w:color w:val="000000"/>
          <w:sz w:val="24"/>
          <w:szCs w:val="24"/>
          <w:lang/>
        </w:rPr>
        <w:t xml:space="preserve">gives CRA </w:t>
      </w:r>
      <w:r w:rsidR="007E7B01" w:rsidRPr="00B72686">
        <w:rPr>
          <w:color w:val="000000"/>
          <w:sz w:val="24"/>
          <w:szCs w:val="24"/>
          <w:lang/>
        </w:rPr>
        <w:t xml:space="preserve">an additional means of collecting outstanding tax debts of the bankrupt outside the bankruptcy. </w:t>
      </w:r>
    </w:p>
    <w:p w:rsidR="00B72686" w:rsidRPr="001C61C4" w:rsidRDefault="00B72686" w:rsidP="007E7B01">
      <w:pPr>
        <w:spacing w:line="360" w:lineRule="auto"/>
        <w:rPr>
          <w:i/>
          <w:color w:val="000000"/>
          <w:sz w:val="24"/>
          <w:szCs w:val="24"/>
          <w:lang/>
        </w:rPr>
      </w:pPr>
      <w:proofErr w:type="spellStart"/>
      <w:r w:rsidRPr="001C61C4">
        <w:rPr>
          <w:i/>
          <w:sz w:val="24"/>
        </w:rPr>
        <w:t>Heavyside</w:t>
      </w:r>
      <w:proofErr w:type="spellEnd"/>
      <w:proofErr w:type="gramStart"/>
      <w:r w:rsidR="007E7B01">
        <w:rPr>
          <w:i/>
          <w:sz w:val="24"/>
        </w:rPr>
        <w:t>;</w:t>
      </w:r>
      <w:proofErr w:type="spellStart"/>
      <w:r w:rsidRPr="001C61C4">
        <w:rPr>
          <w:i/>
          <w:color w:val="000000"/>
          <w:sz w:val="24"/>
          <w:szCs w:val="24"/>
          <w:lang/>
        </w:rPr>
        <w:t>Wannan</w:t>
      </w:r>
      <w:proofErr w:type="spellEnd"/>
      <w:proofErr w:type="gramEnd"/>
    </w:p>
    <w:p w:rsidR="007E7B01" w:rsidRDefault="007E7B01" w:rsidP="00967E02">
      <w:pPr>
        <w:spacing w:line="360" w:lineRule="auto"/>
        <w:rPr>
          <w:sz w:val="24"/>
        </w:rPr>
      </w:pPr>
    </w:p>
    <w:p w:rsidR="00967E02" w:rsidRDefault="00967E02" w:rsidP="00967E02">
      <w:pPr>
        <w:spacing w:line="360" w:lineRule="auto"/>
        <w:rPr>
          <w:sz w:val="24"/>
        </w:rPr>
      </w:pPr>
      <w:r>
        <w:rPr>
          <w:sz w:val="24"/>
        </w:rPr>
        <w:t xml:space="preserve">A person assessed under s 160 of the </w:t>
      </w:r>
      <w:r>
        <w:rPr>
          <w:i/>
          <w:sz w:val="24"/>
        </w:rPr>
        <w:t>Income Tax Act</w:t>
      </w:r>
      <w:r>
        <w:rPr>
          <w:sz w:val="24"/>
        </w:rPr>
        <w:t xml:space="preserve"> has the right to challenge the underlying assessment to the primary taxpayer, unless the taxpayer had objected and the assessment was upheld on appeal.</w:t>
      </w:r>
    </w:p>
    <w:p w:rsidR="00967E02" w:rsidRDefault="00967E02" w:rsidP="00967E02">
      <w:pPr>
        <w:spacing w:line="360" w:lineRule="auto"/>
        <w:rPr>
          <w:sz w:val="24"/>
        </w:rPr>
      </w:pPr>
    </w:p>
    <w:p w:rsidR="00967E02" w:rsidRDefault="00967E02" w:rsidP="00967E02">
      <w:pPr>
        <w:spacing w:line="360" w:lineRule="auto"/>
        <w:rPr>
          <w:i/>
          <w:sz w:val="24"/>
        </w:rPr>
      </w:pPr>
      <w:proofErr w:type="spellStart"/>
      <w:proofErr w:type="gramStart"/>
      <w:r>
        <w:rPr>
          <w:sz w:val="24"/>
        </w:rPr>
        <w:t>Gaucher</w:t>
      </w:r>
      <w:proofErr w:type="spellEnd"/>
      <w:r>
        <w:rPr>
          <w:sz w:val="24"/>
        </w:rPr>
        <w:t xml:space="preserve"> v The Queen 2000 Can LII 278 T.C.C.; Ramey v the Queen 93 D.T.C. 791</w:t>
      </w:r>
      <w:r w:rsidR="001C61C4">
        <w:rPr>
          <w:sz w:val="24"/>
        </w:rPr>
        <w:t xml:space="preserve"> (T.C.C.)</w:t>
      </w:r>
      <w:proofErr w:type="gramEnd"/>
      <w:r>
        <w:rPr>
          <w:i/>
          <w:sz w:val="24"/>
        </w:rPr>
        <w:t xml:space="preserve"> </w:t>
      </w:r>
    </w:p>
    <w:p w:rsidR="0003580E" w:rsidRDefault="0003580E" w:rsidP="001C61C4">
      <w:pPr>
        <w:spacing w:before="100" w:beforeAutospacing="1" w:after="100" w:afterAutospacing="1" w:line="360" w:lineRule="auto"/>
        <w:rPr>
          <w:color w:val="000000"/>
          <w:sz w:val="24"/>
          <w:szCs w:val="24"/>
          <w:lang/>
        </w:rPr>
      </w:pPr>
      <w:r w:rsidRPr="001C61C4">
        <w:rPr>
          <w:sz w:val="24"/>
        </w:rPr>
        <w:t>The bankrupt tax debtor’s statement of affairs and C.R.A.’s proof of claim is some evidence of the validity of the underlying assessment</w:t>
      </w:r>
      <w:r>
        <w:rPr>
          <w:color w:val="000000"/>
          <w:sz w:val="24"/>
          <w:szCs w:val="24"/>
          <w:lang/>
        </w:rPr>
        <w:t>.</w:t>
      </w:r>
    </w:p>
    <w:p w:rsidR="0003580E" w:rsidRDefault="0003580E" w:rsidP="00B72686">
      <w:pPr>
        <w:spacing w:before="100" w:beforeAutospacing="1" w:after="100" w:afterAutospacing="1"/>
        <w:rPr>
          <w:color w:val="000000"/>
          <w:sz w:val="24"/>
          <w:szCs w:val="24"/>
          <w:lang/>
        </w:rPr>
      </w:pPr>
      <w:proofErr w:type="spellStart"/>
      <w:proofErr w:type="gramStart"/>
      <w:r>
        <w:rPr>
          <w:color w:val="000000"/>
          <w:sz w:val="24"/>
          <w:szCs w:val="24"/>
          <w:lang/>
        </w:rPr>
        <w:t>D’Aoust</w:t>
      </w:r>
      <w:proofErr w:type="spellEnd"/>
      <w:r>
        <w:rPr>
          <w:color w:val="000000"/>
          <w:sz w:val="24"/>
          <w:szCs w:val="24"/>
          <w:lang/>
        </w:rPr>
        <w:t xml:space="preserve"> v the Queen 1998 </w:t>
      </w:r>
      <w:proofErr w:type="spellStart"/>
      <w:r>
        <w:rPr>
          <w:color w:val="000000"/>
          <w:sz w:val="24"/>
          <w:szCs w:val="24"/>
          <w:lang/>
        </w:rPr>
        <w:t>CanLII</w:t>
      </w:r>
      <w:proofErr w:type="spellEnd"/>
      <w:r>
        <w:rPr>
          <w:color w:val="000000"/>
          <w:sz w:val="24"/>
          <w:szCs w:val="24"/>
          <w:lang/>
        </w:rPr>
        <w:t xml:space="preserve"> 318 (T.C.C.)</w:t>
      </w:r>
      <w:proofErr w:type="gramEnd"/>
    </w:p>
    <w:p w:rsidR="00967E02" w:rsidRPr="00B72686" w:rsidRDefault="0003580E" w:rsidP="00B72686">
      <w:pPr>
        <w:spacing w:before="100" w:beforeAutospacing="1" w:after="100" w:afterAutospacing="1"/>
        <w:rPr>
          <w:color w:val="000000"/>
          <w:sz w:val="24"/>
          <w:szCs w:val="24"/>
          <w:lang/>
        </w:rPr>
      </w:pPr>
      <w:r>
        <w:rPr>
          <w:color w:val="000000"/>
          <w:sz w:val="24"/>
          <w:szCs w:val="24"/>
          <w:lang/>
        </w:rPr>
        <w:t xml:space="preserve">  </w:t>
      </w:r>
    </w:p>
    <w:p w:rsidR="00967E02" w:rsidRDefault="00967E02" w:rsidP="00967E02">
      <w:pPr>
        <w:spacing w:line="360" w:lineRule="auto"/>
        <w:rPr>
          <w:sz w:val="24"/>
        </w:rPr>
      </w:pPr>
      <w:r>
        <w:rPr>
          <w:sz w:val="24"/>
        </w:rPr>
        <w:t>The transferee has the burden of establishing fair market value of any consideration alleged to have been provided for the transferred property.</w:t>
      </w:r>
    </w:p>
    <w:p w:rsidR="001C61C4" w:rsidRDefault="001C61C4" w:rsidP="00967E02">
      <w:pPr>
        <w:spacing w:line="360" w:lineRule="auto"/>
        <w:rPr>
          <w:sz w:val="24"/>
        </w:rPr>
      </w:pPr>
    </w:p>
    <w:p w:rsidR="00967E02" w:rsidRDefault="00967E02" w:rsidP="00967E02">
      <w:pPr>
        <w:spacing w:line="360" w:lineRule="auto"/>
        <w:rPr>
          <w:sz w:val="24"/>
        </w:rPr>
      </w:pPr>
      <w:proofErr w:type="spellStart"/>
      <w:proofErr w:type="gramStart"/>
      <w:r>
        <w:rPr>
          <w:sz w:val="24"/>
        </w:rPr>
        <w:t>Machtinger</w:t>
      </w:r>
      <w:proofErr w:type="spellEnd"/>
      <w:r>
        <w:rPr>
          <w:sz w:val="24"/>
        </w:rPr>
        <w:t xml:space="preserve"> v Canada 2000 </w:t>
      </w:r>
      <w:proofErr w:type="spellStart"/>
      <w:r>
        <w:rPr>
          <w:sz w:val="24"/>
        </w:rPr>
        <w:t>CanLII</w:t>
      </w:r>
      <w:proofErr w:type="spellEnd"/>
      <w:r>
        <w:rPr>
          <w:sz w:val="24"/>
        </w:rPr>
        <w:t xml:space="preserve"> F.C.A.</w:t>
      </w:r>
      <w:proofErr w:type="gramEnd"/>
    </w:p>
    <w:p w:rsidR="001C61C4" w:rsidRDefault="001C61C4">
      <w:pPr>
        <w:spacing w:line="360" w:lineRule="auto"/>
        <w:rPr>
          <w:sz w:val="24"/>
        </w:rPr>
      </w:pPr>
    </w:p>
    <w:p w:rsidR="0092656E" w:rsidRDefault="0092656E">
      <w:pPr>
        <w:spacing w:line="360" w:lineRule="auto"/>
        <w:rPr>
          <w:sz w:val="24"/>
        </w:rPr>
      </w:pPr>
      <w:r>
        <w:rPr>
          <w:sz w:val="24"/>
        </w:rPr>
        <w:lastRenderedPageBreak/>
        <w:t>While a</w:t>
      </w:r>
      <w:r w:rsidR="00967E02">
        <w:rPr>
          <w:sz w:val="24"/>
        </w:rPr>
        <w:t>n outright</w:t>
      </w:r>
      <w:r>
        <w:rPr>
          <w:sz w:val="24"/>
        </w:rPr>
        <w:t xml:space="preserve"> transfer of a property may be obviously caught by s.160, </w:t>
      </w:r>
      <w:r w:rsidR="00967E02">
        <w:rPr>
          <w:sz w:val="24"/>
        </w:rPr>
        <w:t xml:space="preserve">CRA </w:t>
      </w:r>
      <w:r>
        <w:rPr>
          <w:sz w:val="24"/>
        </w:rPr>
        <w:t xml:space="preserve">will frequently look to see whether the </w:t>
      </w:r>
      <w:r w:rsidR="00967E02">
        <w:rPr>
          <w:sz w:val="24"/>
        </w:rPr>
        <w:t xml:space="preserve">tax debtor has made any payments that increased the value of an </w:t>
      </w:r>
      <w:r>
        <w:rPr>
          <w:sz w:val="24"/>
        </w:rPr>
        <w:t>asset</w:t>
      </w:r>
      <w:r w:rsidR="00967E02">
        <w:rPr>
          <w:sz w:val="24"/>
        </w:rPr>
        <w:t xml:space="preserve"> held by a related party</w:t>
      </w:r>
      <w:r>
        <w:rPr>
          <w:sz w:val="24"/>
        </w:rPr>
        <w:t xml:space="preserve">, </w:t>
      </w:r>
      <w:r w:rsidR="00967E02">
        <w:rPr>
          <w:sz w:val="24"/>
        </w:rPr>
        <w:t xml:space="preserve">for example </w:t>
      </w:r>
      <w:r w:rsidR="001C61C4">
        <w:rPr>
          <w:sz w:val="24"/>
        </w:rPr>
        <w:t xml:space="preserve">by making </w:t>
      </w:r>
      <w:r>
        <w:rPr>
          <w:sz w:val="24"/>
        </w:rPr>
        <w:t>mortgage payments</w:t>
      </w:r>
      <w:r w:rsidR="001C61C4">
        <w:rPr>
          <w:sz w:val="24"/>
        </w:rPr>
        <w:t xml:space="preserve"> on property owned by the related part</w:t>
      </w:r>
      <w:r w:rsidR="007E7B01">
        <w:rPr>
          <w:sz w:val="24"/>
        </w:rPr>
        <w:t>y</w:t>
      </w:r>
      <w:r>
        <w:rPr>
          <w:sz w:val="24"/>
        </w:rPr>
        <w:t>.</w:t>
      </w:r>
      <w:r w:rsidR="00967E02">
        <w:rPr>
          <w:sz w:val="24"/>
        </w:rPr>
        <w:t xml:space="preserve">  Numerous cases have considered whether mortgage payments made by a tax debtor or transfers of money for household expenses are payments made for valuable consideration, having been made pursuant to the debtor’s obligation to support his or her family.</w:t>
      </w:r>
    </w:p>
    <w:p w:rsidR="00967E02" w:rsidRDefault="00967E02">
      <w:pPr>
        <w:spacing w:line="360" w:lineRule="auto"/>
        <w:rPr>
          <w:sz w:val="24"/>
        </w:rPr>
      </w:pPr>
      <w:proofErr w:type="gramStart"/>
      <w:r w:rsidRPr="001C61C4">
        <w:rPr>
          <w:i/>
          <w:sz w:val="24"/>
        </w:rPr>
        <w:t>Yates v Canada</w:t>
      </w:r>
      <w:r>
        <w:rPr>
          <w:sz w:val="24"/>
        </w:rPr>
        <w:t xml:space="preserve"> [2007] T.C.J.</w:t>
      </w:r>
      <w:proofErr w:type="gramEnd"/>
      <w:r>
        <w:rPr>
          <w:sz w:val="24"/>
        </w:rPr>
        <w:t xml:space="preserve"> No 328</w:t>
      </w:r>
      <w:r w:rsidR="00736767">
        <w:rPr>
          <w:sz w:val="24"/>
        </w:rPr>
        <w:t xml:space="preserve">; </w:t>
      </w:r>
      <w:proofErr w:type="spellStart"/>
      <w:r w:rsidR="00736767" w:rsidRPr="001C61C4">
        <w:rPr>
          <w:i/>
          <w:sz w:val="24"/>
        </w:rPr>
        <w:t>Tetrault</w:t>
      </w:r>
      <w:proofErr w:type="spellEnd"/>
      <w:r w:rsidR="00736767" w:rsidRPr="001C61C4">
        <w:rPr>
          <w:i/>
          <w:sz w:val="24"/>
        </w:rPr>
        <w:t xml:space="preserve"> v La </w:t>
      </w:r>
      <w:proofErr w:type="spellStart"/>
      <w:r w:rsidR="00736767" w:rsidRPr="001C61C4">
        <w:rPr>
          <w:i/>
          <w:sz w:val="24"/>
        </w:rPr>
        <w:t>Reine</w:t>
      </w:r>
      <w:proofErr w:type="spellEnd"/>
      <w:r w:rsidR="00736767">
        <w:rPr>
          <w:sz w:val="24"/>
        </w:rPr>
        <w:t xml:space="preserve"> 2004 TCC 332 </w:t>
      </w:r>
      <w:proofErr w:type="spellStart"/>
      <w:r w:rsidR="00736767">
        <w:rPr>
          <w:sz w:val="24"/>
        </w:rPr>
        <w:t>CanL</w:t>
      </w:r>
      <w:r w:rsidR="001C61C4">
        <w:rPr>
          <w:sz w:val="24"/>
        </w:rPr>
        <w:t>II</w:t>
      </w:r>
      <w:proofErr w:type="spellEnd"/>
      <w:r w:rsidR="00736767">
        <w:rPr>
          <w:sz w:val="24"/>
        </w:rPr>
        <w:t xml:space="preserve">, </w:t>
      </w:r>
      <w:proofErr w:type="spellStart"/>
      <w:r w:rsidR="00736767" w:rsidRPr="001C61C4">
        <w:rPr>
          <w:i/>
          <w:sz w:val="24"/>
        </w:rPr>
        <w:t>Ducharme</w:t>
      </w:r>
      <w:proofErr w:type="spellEnd"/>
      <w:r w:rsidR="00736767" w:rsidRPr="001C61C4">
        <w:rPr>
          <w:i/>
          <w:sz w:val="24"/>
        </w:rPr>
        <w:t xml:space="preserve"> v Canada</w:t>
      </w:r>
      <w:r w:rsidR="00736767">
        <w:rPr>
          <w:sz w:val="24"/>
        </w:rPr>
        <w:t xml:space="preserve"> 2005</w:t>
      </w:r>
      <w:r w:rsidR="006131BE">
        <w:rPr>
          <w:sz w:val="24"/>
        </w:rPr>
        <w:t xml:space="preserve"> </w:t>
      </w:r>
      <w:r w:rsidR="00736767">
        <w:rPr>
          <w:sz w:val="24"/>
        </w:rPr>
        <w:t xml:space="preserve">FCA 137 </w:t>
      </w:r>
      <w:proofErr w:type="spellStart"/>
      <w:r w:rsidR="00736767">
        <w:rPr>
          <w:sz w:val="24"/>
        </w:rPr>
        <w:t>CaLII</w:t>
      </w:r>
      <w:proofErr w:type="spellEnd"/>
    </w:p>
    <w:p w:rsidR="00A1329C" w:rsidRDefault="00A1329C">
      <w:pPr>
        <w:spacing w:line="360" w:lineRule="auto"/>
        <w:rPr>
          <w:sz w:val="24"/>
        </w:rPr>
      </w:pPr>
    </w:p>
    <w:p w:rsidR="00710B74" w:rsidRPr="001C61C4" w:rsidRDefault="001C61C4" w:rsidP="00710B74">
      <w:pPr>
        <w:spacing w:line="360" w:lineRule="auto"/>
        <w:rPr>
          <w:b/>
          <w:sz w:val="24"/>
          <w:szCs w:val="24"/>
        </w:rPr>
      </w:pPr>
      <w:r w:rsidRPr="001C61C4">
        <w:rPr>
          <w:b/>
          <w:sz w:val="24"/>
          <w:szCs w:val="24"/>
        </w:rPr>
        <w:t>Directors</w:t>
      </w:r>
      <w:r w:rsidR="007E7B01">
        <w:rPr>
          <w:b/>
          <w:sz w:val="24"/>
          <w:szCs w:val="24"/>
        </w:rPr>
        <w:t>’</w:t>
      </w:r>
      <w:r w:rsidRPr="001C61C4">
        <w:rPr>
          <w:b/>
          <w:sz w:val="24"/>
          <w:szCs w:val="24"/>
        </w:rPr>
        <w:t xml:space="preserve"> Liability</w:t>
      </w:r>
    </w:p>
    <w:p w:rsidR="00515E3C" w:rsidRDefault="00515E3C" w:rsidP="007E7B01">
      <w:pPr>
        <w:pStyle w:val="article"/>
        <w:spacing w:before="140"/>
        <w:ind w:firstLine="0"/>
        <w:rPr>
          <w:color w:val="000000"/>
          <w:lang/>
        </w:rPr>
      </w:pPr>
      <w:r>
        <w:rPr>
          <w:color w:val="000000"/>
          <w:lang/>
        </w:rPr>
        <w:t xml:space="preserve">A corporation continues to exist when it </w:t>
      </w:r>
      <w:r w:rsidR="002B7515">
        <w:rPr>
          <w:color w:val="000000"/>
          <w:lang/>
        </w:rPr>
        <w:t xml:space="preserve">becomes bankrupt </w:t>
      </w:r>
      <w:r>
        <w:rPr>
          <w:color w:val="000000"/>
          <w:lang/>
        </w:rPr>
        <w:t>and a trustee is appointed. The directors may no longer be operating the bankrupt corporation but they are still directors.</w:t>
      </w:r>
    </w:p>
    <w:p w:rsidR="00515E3C" w:rsidRDefault="00515E3C" w:rsidP="00710B74">
      <w:pPr>
        <w:pStyle w:val="article"/>
        <w:spacing w:before="140"/>
        <w:ind w:firstLine="264"/>
        <w:rPr>
          <w:color w:val="000000"/>
          <w:lang/>
        </w:rPr>
      </w:pPr>
      <w:r>
        <w:rPr>
          <w:i/>
          <w:iCs/>
          <w:color w:val="000000"/>
          <w:lang/>
        </w:rPr>
        <w:t xml:space="preserve"> </w:t>
      </w:r>
      <w:proofErr w:type="gramStart"/>
      <w:r>
        <w:rPr>
          <w:i/>
          <w:iCs/>
          <w:color w:val="000000"/>
          <w:lang/>
        </w:rPr>
        <w:t xml:space="preserve">National Trust Company Limited v. </w:t>
      </w:r>
      <w:smartTag w:uri="urn:schemas-microsoft-com:office:smarttags" w:element="place">
        <w:r>
          <w:rPr>
            <w:i/>
            <w:iCs/>
            <w:color w:val="000000"/>
            <w:lang/>
          </w:rPr>
          <w:t>Ebro</w:t>
        </w:r>
      </w:smartTag>
      <w:r>
        <w:rPr>
          <w:i/>
          <w:iCs/>
          <w:color w:val="000000"/>
          <w:lang/>
        </w:rPr>
        <w:t xml:space="preserve"> Irrigation and Power Company Ltd. et al</w:t>
      </w:r>
      <w:r>
        <w:rPr>
          <w:color w:val="000000"/>
          <w:lang/>
        </w:rPr>
        <w:t xml:space="preserve">., </w:t>
      </w:r>
      <w:bookmarkStart w:id="3" w:name="reflex-caselaw-29231396"/>
      <w:bookmarkEnd w:id="3"/>
      <w:r>
        <w:rPr>
          <w:color w:val="000000"/>
          <w:lang/>
        </w:rPr>
        <w:t>[1954] O.R. 463 (S.C.);</w:t>
      </w:r>
      <w:r w:rsidRPr="00515E3C">
        <w:rPr>
          <w:rStyle w:val="BodyText"/>
          <w:i/>
          <w:iCs/>
          <w:color w:val="000000"/>
          <w:lang/>
        </w:rPr>
        <w:t xml:space="preserve"> </w:t>
      </w:r>
      <w:proofErr w:type="spellStart"/>
      <w:r>
        <w:rPr>
          <w:rStyle w:val="term01"/>
          <w:i/>
          <w:iCs/>
          <w:color w:val="000000"/>
          <w:lang/>
        </w:rPr>
        <w:t>Kalef</w:t>
      </w:r>
      <w:proofErr w:type="spellEnd"/>
      <w:r>
        <w:rPr>
          <w:i/>
          <w:iCs/>
          <w:color w:val="000000"/>
          <w:lang/>
        </w:rPr>
        <w:t xml:space="preserve"> v.</w:t>
      </w:r>
      <w:proofErr w:type="gramEnd"/>
      <w:r>
        <w:rPr>
          <w:i/>
          <w:iCs/>
          <w:color w:val="000000"/>
          <w:lang/>
        </w:rPr>
        <w:t xml:space="preserve"> </w:t>
      </w:r>
      <w:proofErr w:type="gramStart"/>
      <w:r>
        <w:rPr>
          <w:i/>
          <w:iCs/>
          <w:color w:val="000000"/>
          <w:lang/>
        </w:rPr>
        <w:t>The Queen</w:t>
      </w:r>
      <w:r>
        <w:rPr>
          <w:color w:val="000000"/>
          <w:lang/>
        </w:rPr>
        <w:t>, 95 DTC 487 (T.C.C.), 96 DTC 6132.</w:t>
      </w:r>
      <w:proofErr w:type="gramEnd"/>
      <w:r>
        <w:rPr>
          <w:color w:val="000000"/>
          <w:lang/>
        </w:rPr>
        <w:t xml:space="preserve"> </w:t>
      </w:r>
      <w:proofErr w:type="gramStart"/>
      <w:r>
        <w:rPr>
          <w:color w:val="000000"/>
          <w:lang/>
        </w:rPr>
        <w:t>leave</w:t>
      </w:r>
      <w:proofErr w:type="gramEnd"/>
      <w:r>
        <w:rPr>
          <w:color w:val="000000"/>
          <w:lang/>
        </w:rPr>
        <w:t xml:space="preserve"> to appeal </w:t>
      </w:r>
      <w:r w:rsidR="002B7515">
        <w:rPr>
          <w:color w:val="000000"/>
          <w:lang/>
        </w:rPr>
        <w:t>S.C.C. dismissed</w:t>
      </w:r>
      <w:bookmarkStart w:id="4" w:name="reflex-caselaw-29231394"/>
      <w:bookmarkEnd w:id="4"/>
      <w:r w:rsidR="002B7515">
        <w:rPr>
          <w:color w:val="000000"/>
          <w:lang/>
        </w:rPr>
        <w:t xml:space="preserve"> </w:t>
      </w:r>
      <w:r>
        <w:rPr>
          <w:color w:val="000000"/>
          <w:lang/>
        </w:rPr>
        <w:t>[1996] S.C.C.A. No. 219, File No. 25290.</w:t>
      </w:r>
    </w:p>
    <w:p w:rsidR="00515E3C" w:rsidRPr="001C61C4" w:rsidRDefault="00515E3C" w:rsidP="007E7B01">
      <w:pPr>
        <w:pStyle w:val="article"/>
        <w:spacing w:before="140"/>
        <w:ind w:firstLine="0"/>
        <w:rPr>
          <w:bCs/>
          <w:szCs w:val="20"/>
        </w:rPr>
      </w:pPr>
      <w:r>
        <w:rPr>
          <w:bCs/>
          <w:szCs w:val="20"/>
        </w:rPr>
        <w:t xml:space="preserve">If a bankrupt </w:t>
      </w:r>
      <w:r w:rsidRPr="001C61C4">
        <w:rPr>
          <w:bCs/>
          <w:szCs w:val="20"/>
        </w:rPr>
        <w:t>corporation has failed to remit income taxes or GST</w:t>
      </w:r>
      <w:r>
        <w:rPr>
          <w:bCs/>
          <w:szCs w:val="20"/>
        </w:rPr>
        <w:t xml:space="preserve">, </w:t>
      </w:r>
      <w:r w:rsidRPr="001C61C4">
        <w:rPr>
          <w:bCs/>
          <w:szCs w:val="20"/>
        </w:rPr>
        <w:t xml:space="preserve">the directors of the corporation at the time of the failure </w:t>
      </w:r>
      <w:r>
        <w:rPr>
          <w:bCs/>
          <w:szCs w:val="20"/>
        </w:rPr>
        <w:t xml:space="preserve">may be </w:t>
      </w:r>
      <w:r w:rsidRPr="001C61C4">
        <w:rPr>
          <w:bCs/>
          <w:szCs w:val="20"/>
        </w:rPr>
        <w:t>liable to pay those taxes</w:t>
      </w:r>
      <w:r>
        <w:rPr>
          <w:bCs/>
          <w:szCs w:val="20"/>
        </w:rPr>
        <w:t>.</w:t>
      </w:r>
    </w:p>
    <w:p w:rsidR="00515E3C" w:rsidRPr="001C61C4" w:rsidRDefault="00515E3C" w:rsidP="00515E3C">
      <w:pPr>
        <w:pStyle w:val="article"/>
        <w:spacing w:before="140"/>
        <w:ind w:firstLine="264"/>
        <w:rPr>
          <w:bCs/>
          <w:szCs w:val="20"/>
        </w:rPr>
      </w:pPr>
      <w:r w:rsidRPr="001C61C4">
        <w:rPr>
          <w:bCs/>
          <w:szCs w:val="20"/>
        </w:rPr>
        <w:t>Section 227</w:t>
      </w:r>
      <w:r w:rsidR="0051654A">
        <w:rPr>
          <w:bCs/>
          <w:szCs w:val="20"/>
        </w:rPr>
        <w:t>.1</w:t>
      </w:r>
      <w:r w:rsidRPr="001C61C4">
        <w:rPr>
          <w:bCs/>
          <w:szCs w:val="20"/>
        </w:rPr>
        <w:t xml:space="preserve"> of the </w:t>
      </w:r>
      <w:r w:rsidRPr="001C61C4">
        <w:rPr>
          <w:bCs/>
          <w:i/>
          <w:szCs w:val="20"/>
        </w:rPr>
        <w:t>Income Tax Act</w:t>
      </w:r>
      <w:r w:rsidRPr="001C61C4">
        <w:rPr>
          <w:bCs/>
          <w:szCs w:val="20"/>
        </w:rPr>
        <w:t>; Section 32</w:t>
      </w:r>
      <w:r>
        <w:rPr>
          <w:bCs/>
          <w:szCs w:val="20"/>
        </w:rPr>
        <w:t>3</w:t>
      </w:r>
      <w:r w:rsidRPr="001C61C4">
        <w:rPr>
          <w:bCs/>
          <w:szCs w:val="20"/>
        </w:rPr>
        <w:t xml:space="preserve"> of the </w:t>
      </w:r>
      <w:r w:rsidRPr="001C61C4">
        <w:rPr>
          <w:bCs/>
          <w:i/>
          <w:szCs w:val="20"/>
        </w:rPr>
        <w:t>Excise Tax Act</w:t>
      </w:r>
      <w:r w:rsidRPr="001C61C4">
        <w:rPr>
          <w:bCs/>
          <w:szCs w:val="20"/>
        </w:rPr>
        <w:t xml:space="preserve"> </w:t>
      </w:r>
    </w:p>
    <w:p w:rsidR="002B7515" w:rsidRDefault="002B7515" w:rsidP="00515E3C">
      <w:pPr>
        <w:pStyle w:val="NormalWeb"/>
        <w:rPr>
          <w:color w:val="000000"/>
          <w:lang/>
        </w:rPr>
      </w:pPr>
      <w:r>
        <w:rPr>
          <w:color w:val="000000"/>
          <w:lang/>
        </w:rPr>
        <w:t xml:space="preserve">The directors’ liability sections in the </w:t>
      </w:r>
      <w:r>
        <w:rPr>
          <w:i/>
          <w:iCs/>
          <w:color w:val="000000"/>
          <w:lang/>
        </w:rPr>
        <w:t>Income Tax Act</w:t>
      </w:r>
      <w:r>
        <w:rPr>
          <w:color w:val="000000"/>
          <w:lang/>
        </w:rPr>
        <w:t xml:space="preserve"> and </w:t>
      </w:r>
      <w:r>
        <w:rPr>
          <w:i/>
          <w:iCs/>
          <w:color w:val="000000"/>
          <w:lang/>
        </w:rPr>
        <w:t>Excise Tax Act</w:t>
      </w:r>
      <w:r>
        <w:rPr>
          <w:color w:val="000000"/>
          <w:lang/>
        </w:rPr>
        <w:t xml:space="preserve"> were enacted to impose liability, subject to certain conditions, on the directors of a corporation that failed to remit tax collected from others </w:t>
      </w:r>
      <w:r w:rsidR="00515E3C">
        <w:rPr>
          <w:color w:val="000000"/>
          <w:lang/>
        </w:rPr>
        <w:t xml:space="preserve">such as </w:t>
      </w:r>
      <w:r>
        <w:rPr>
          <w:color w:val="000000"/>
          <w:lang/>
        </w:rPr>
        <w:t xml:space="preserve">source deductions for </w:t>
      </w:r>
      <w:r w:rsidR="00515E3C">
        <w:rPr>
          <w:color w:val="000000"/>
          <w:lang/>
        </w:rPr>
        <w:t>employees</w:t>
      </w:r>
      <w:r>
        <w:rPr>
          <w:color w:val="000000"/>
          <w:lang/>
        </w:rPr>
        <w:t>’ wages</w:t>
      </w:r>
      <w:r w:rsidR="00515E3C">
        <w:rPr>
          <w:color w:val="000000"/>
          <w:lang/>
        </w:rPr>
        <w:t xml:space="preserve">, and GST collected from customers. Normally, the Crown's remedies against a corporation would be limited to the corporation's assets. </w:t>
      </w:r>
      <w:r>
        <w:rPr>
          <w:color w:val="000000"/>
          <w:lang/>
        </w:rPr>
        <w:t xml:space="preserve">   The sections are meant to deter corporations from failing to </w:t>
      </w:r>
      <w:r w:rsidR="00515E3C">
        <w:rPr>
          <w:color w:val="000000"/>
          <w:lang/>
        </w:rPr>
        <w:t xml:space="preserve">remit taxes, </w:t>
      </w:r>
      <w:r>
        <w:rPr>
          <w:color w:val="000000"/>
          <w:lang/>
        </w:rPr>
        <w:t xml:space="preserve">while paying other </w:t>
      </w:r>
      <w:r w:rsidR="00515E3C">
        <w:rPr>
          <w:color w:val="000000"/>
          <w:lang/>
        </w:rPr>
        <w:t>creditors</w:t>
      </w:r>
      <w:r w:rsidR="000A5E59">
        <w:rPr>
          <w:color w:val="000000"/>
          <w:lang/>
        </w:rPr>
        <w:t>, based on the presumption that a decision by a corporation to default on i</w:t>
      </w:r>
      <w:r w:rsidR="007E7B01">
        <w:rPr>
          <w:color w:val="000000"/>
          <w:lang/>
        </w:rPr>
        <w:t xml:space="preserve">ts remittance obligations </w:t>
      </w:r>
      <w:r w:rsidR="000A5E59">
        <w:rPr>
          <w:color w:val="000000"/>
          <w:lang/>
        </w:rPr>
        <w:t>originate</w:t>
      </w:r>
      <w:r w:rsidR="007E7B01">
        <w:rPr>
          <w:color w:val="000000"/>
          <w:lang/>
        </w:rPr>
        <w:t>s</w:t>
      </w:r>
      <w:r w:rsidR="000A5E59">
        <w:rPr>
          <w:color w:val="000000"/>
          <w:lang/>
        </w:rPr>
        <w:t xml:space="preserve"> with </w:t>
      </w:r>
      <w:r w:rsidR="007E7B01">
        <w:rPr>
          <w:color w:val="000000"/>
          <w:lang/>
        </w:rPr>
        <w:t>its</w:t>
      </w:r>
      <w:r w:rsidR="000A5E59">
        <w:rPr>
          <w:color w:val="000000"/>
          <w:lang/>
        </w:rPr>
        <w:t xml:space="preserve"> directors</w:t>
      </w:r>
      <w:r w:rsidR="00515E3C">
        <w:rPr>
          <w:color w:val="000000"/>
          <w:lang/>
        </w:rPr>
        <w:t xml:space="preserve"> </w:t>
      </w:r>
    </w:p>
    <w:p w:rsidR="00515E3C" w:rsidRDefault="00515E3C" w:rsidP="00515E3C">
      <w:pPr>
        <w:pStyle w:val="NormalWeb"/>
        <w:rPr>
          <w:color w:val="000000"/>
          <w:lang/>
        </w:rPr>
      </w:pPr>
      <w:r>
        <w:rPr>
          <w:color w:val="000000"/>
          <w:lang/>
        </w:rPr>
        <w:t xml:space="preserve"> </w:t>
      </w:r>
      <w:proofErr w:type="spellStart"/>
      <w:r>
        <w:rPr>
          <w:i/>
          <w:iCs/>
          <w:color w:val="000000"/>
          <w:lang/>
        </w:rPr>
        <w:t>Soper</w:t>
      </w:r>
      <w:proofErr w:type="spellEnd"/>
      <w:r>
        <w:rPr>
          <w:i/>
          <w:iCs/>
          <w:color w:val="000000"/>
          <w:lang/>
        </w:rPr>
        <w:t xml:space="preserve"> v. Canada</w:t>
      </w:r>
      <w:r>
        <w:rPr>
          <w:color w:val="000000"/>
          <w:lang/>
        </w:rPr>
        <w:t xml:space="preserve">, </w:t>
      </w:r>
      <w:bookmarkStart w:id="5" w:name="reflex-caselaw-36563717"/>
      <w:r>
        <w:rPr>
          <w:color w:val="000000"/>
          <w:lang/>
        </w:rPr>
        <w:fldChar w:fldCharType="begin"/>
      </w:r>
      <w:r>
        <w:rPr>
          <w:color w:val="000000"/>
          <w:lang/>
        </w:rPr>
        <w:instrText xml:space="preserve"> HYPERLINK "http://www.canlii.org/en/ca/fca/doc/1997/1997canlii6352/1997canlii6352.html" </w:instrText>
      </w:r>
      <w:r>
        <w:rPr>
          <w:color w:val="000000"/>
          <w:lang/>
        </w:rPr>
        <w:fldChar w:fldCharType="separate"/>
      </w:r>
      <w:r>
        <w:rPr>
          <w:rStyle w:val="Hyperlink"/>
          <w:lang/>
        </w:rPr>
        <w:t xml:space="preserve">1997 </w:t>
      </w:r>
      <w:proofErr w:type="spellStart"/>
      <w:r>
        <w:rPr>
          <w:rStyle w:val="Hyperlink"/>
          <w:lang/>
        </w:rPr>
        <w:t>CanLII</w:t>
      </w:r>
      <w:proofErr w:type="spellEnd"/>
      <w:r>
        <w:rPr>
          <w:rStyle w:val="Hyperlink"/>
          <w:lang/>
        </w:rPr>
        <w:t xml:space="preserve"> 6352 (F.C.A.)</w:t>
      </w:r>
      <w:r>
        <w:rPr>
          <w:color w:val="000000"/>
          <w:lang/>
        </w:rPr>
        <w:fldChar w:fldCharType="end"/>
      </w:r>
      <w:bookmarkEnd w:id="5"/>
      <w:r>
        <w:rPr>
          <w:color w:val="000000"/>
          <w:lang/>
        </w:rPr>
        <w:t>, [1998] 1 F.C. 124, 215 N.R. 372, 149 D.L.R. (4</w:t>
      </w:r>
      <w:r>
        <w:rPr>
          <w:color w:val="000000"/>
          <w:vertAlign w:val="superscript"/>
          <w:lang/>
        </w:rPr>
        <w:t>th</w:t>
      </w:r>
      <w:r>
        <w:rPr>
          <w:color w:val="000000"/>
          <w:lang/>
        </w:rPr>
        <w:t>) 297, [1997] 3 C.T.C. 242, 97 D.T.C. 5407 (F.C.A.)</w:t>
      </w:r>
      <w:proofErr w:type="gramStart"/>
      <w:r w:rsidR="000A5E59">
        <w:rPr>
          <w:color w:val="000000"/>
          <w:lang/>
        </w:rPr>
        <w:t>;</w:t>
      </w:r>
      <w:r>
        <w:rPr>
          <w:color w:val="000000"/>
          <w:lang/>
        </w:rPr>
        <w:t xml:space="preserve">  </w:t>
      </w:r>
      <w:proofErr w:type="spellStart"/>
      <w:r>
        <w:rPr>
          <w:i/>
          <w:iCs/>
          <w:color w:val="000000"/>
          <w:lang/>
        </w:rPr>
        <w:t>Kalef</w:t>
      </w:r>
      <w:proofErr w:type="spellEnd"/>
      <w:proofErr w:type="gramEnd"/>
      <w:r>
        <w:rPr>
          <w:i/>
          <w:iCs/>
          <w:color w:val="000000"/>
          <w:lang/>
        </w:rPr>
        <w:t xml:space="preserve"> v. Canada</w:t>
      </w:r>
      <w:r>
        <w:rPr>
          <w:color w:val="000000"/>
          <w:lang/>
        </w:rPr>
        <w:t>, (1996), 194 N.R. 39, 39 C.B.R. (3d) 1, [1996] 2 C.T.C. 1, 96 D.T.C. 6132 (F.C.A.).</w:t>
      </w:r>
    </w:p>
    <w:p w:rsidR="00013DAE" w:rsidRDefault="001C6258" w:rsidP="00013DAE">
      <w:pPr>
        <w:pStyle w:val="noartpara"/>
        <w:spacing w:before="140"/>
        <w:ind w:left="264"/>
        <w:rPr>
          <w:bCs/>
          <w:szCs w:val="20"/>
        </w:rPr>
      </w:pPr>
      <w:r>
        <w:rPr>
          <w:bCs/>
          <w:szCs w:val="20"/>
        </w:rPr>
        <w:t>The sections provide that, i</w:t>
      </w:r>
      <w:r w:rsidR="00013DAE" w:rsidRPr="001C61C4">
        <w:rPr>
          <w:bCs/>
          <w:szCs w:val="20"/>
        </w:rPr>
        <w:t xml:space="preserve">n </w:t>
      </w:r>
      <w:r>
        <w:rPr>
          <w:bCs/>
          <w:szCs w:val="20"/>
        </w:rPr>
        <w:t xml:space="preserve">the case of a bankruptcy, in </w:t>
      </w:r>
      <w:r w:rsidR="00013DAE" w:rsidRPr="001C61C4">
        <w:rPr>
          <w:bCs/>
          <w:szCs w:val="20"/>
        </w:rPr>
        <w:t>order for a director to be found liable</w:t>
      </w:r>
      <w:r w:rsidR="007E7B01">
        <w:rPr>
          <w:bCs/>
          <w:szCs w:val="20"/>
        </w:rPr>
        <w:t>,</w:t>
      </w:r>
      <w:r w:rsidR="00013DAE" w:rsidRPr="001C61C4">
        <w:rPr>
          <w:bCs/>
          <w:szCs w:val="20"/>
        </w:rPr>
        <w:t xml:space="preserve"> a claim for the amount of the corporation’s liability must be proved within six months after the date of the assignment or bankruptcy order.</w:t>
      </w:r>
    </w:p>
    <w:p w:rsidR="00013DAE" w:rsidRPr="001C61C4" w:rsidRDefault="00013DAE" w:rsidP="00013DAE">
      <w:pPr>
        <w:pStyle w:val="paragraphe"/>
        <w:spacing w:before="140"/>
        <w:ind w:firstLine="264"/>
        <w:rPr>
          <w:bCs/>
          <w:szCs w:val="20"/>
        </w:rPr>
      </w:pPr>
      <w:r w:rsidRPr="001C61C4">
        <w:rPr>
          <w:bCs/>
          <w:szCs w:val="20"/>
        </w:rPr>
        <w:lastRenderedPageBreak/>
        <w:t>A director who has satisfied a claim for directors’ liability is entitled to contribution from the other directors who were liable for the claim.</w:t>
      </w:r>
    </w:p>
    <w:p w:rsidR="00013DAE" w:rsidRDefault="00EF5DE6" w:rsidP="001C6258">
      <w:pPr>
        <w:pStyle w:val="paragraphe"/>
        <w:spacing w:before="140"/>
        <w:ind w:firstLine="264"/>
      </w:pPr>
      <w:r>
        <w:t xml:space="preserve">Section 227.1(4) of the </w:t>
      </w:r>
      <w:r>
        <w:rPr>
          <w:i/>
        </w:rPr>
        <w:t xml:space="preserve">Income Tax Act </w:t>
      </w:r>
      <w:r>
        <w:t>provides that th</w:t>
      </w:r>
      <w:r w:rsidR="00013DAE" w:rsidRPr="001C61C4">
        <w:t xml:space="preserve">ere is a two year limitation from the time the director last ceased to be a director of the corporation for the assessment </w:t>
      </w:r>
      <w:r>
        <w:t xml:space="preserve">to be made </w:t>
      </w:r>
      <w:r w:rsidR="00013DAE" w:rsidRPr="001C61C4">
        <w:t>against the director.</w:t>
      </w:r>
      <w:r w:rsidR="001C6258">
        <w:t xml:space="preserve">  </w:t>
      </w:r>
      <w:r w:rsidR="00013DAE">
        <w:t>A former director must lead evidence to show that he or she resigned as a director to have the benefit of the limitation period.</w:t>
      </w:r>
    </w:p>
    <w:p w:rsidR="00013DAE" w:rsidRDefault="00013DAE" w:rsidP="00013DAE">
      <w:pPr>
        <w:spacing w:line="360" w:lineRule="auto"/>
        <w:rPr>
          <w:sz w:val="24"/>
        </w:rPr>
      </w:pPr>
      <w:r>
        <w:rPr>
          <w:sz w:val="24"/>
        </w:rPr>
        <w:t xml:space="preserve">Kern </w:t>
      </w:r>
      <w:proofErr w:type="gramStart"/>
      <w:r>
        <w:rPr>
          <w:sz w:val="24"/>
        </w:rPr>
        <w:t xml:space="preserve">v  </w:t>
      </w:r>
      <w:smartTag w:uri="urn:schemas-microsoft-com:office:smarttags" w:element="place">
        <w:smartTag w:uri="urn:schemas-microsoft-com:office:smarttags" w:element="country-region">
          <w:r>
            <w:rPr>
              <w:sz w:val="24"/>
            </w:rPr>
            <w:t>Canada</w:t>
          </w:r>
        </w:smartTag>
      </w:smartTag>
      <w:proofErr w:type="gramEnd"/>
      <w:r>
        <w:rPr>
          <w:sz w:val="24"/>
        </w:rPr>
        <w:t xml:space="preserve"> [2006] F.C.J. No. 1094 (F.C.A.) </w:t>
      </w:r>
    </w:p>
    <w:p w:rsidR="00013DAE" w:rsidRDefault="00013DAE" w:rsidP="00013DAE">
      <w:pPr>
        <w:spacing w:line="360" w:lineRule="auto"/>
        <w:rPr>
          <w:sz w:val="24"/>
        </w:rPr>
      </w:pPr>
    </w:p>
    <w:p w:rsidR="00013DAE" w:rsidRDefault="00013DAE" w:rsidP="00013DAE">
      <w:pPr>
        <w:spacing w:line="360" w:lineRule="auto"/>
        <w:rPr>
          <w:sz w:val="24"/>
        </w:rPr>
      </w:pPr>
      <w:r>
        <w:rPr>
          <w:sz w:val="24"/>
        </w:rPr>
        <w:t>If the company is struck from the register of companies within that two year period, CRA may bring an application to have the company restored to the register which will have the effect of restoring all directors who were directors at the date of the dissolution.  This is the case even for directors who have given notice of their resignation during the period that the company was dissolved.</w:t>
      </w:r>
    </w:p>
    <w:p w:rsidR="00013DAE" w:rsidRDefault="00013DAE" w:rsidP="00013DAE">
      <w:pPr>
        <w:spacing w:line="360" w:lineRule="auto"/>
        <w:rPr>
          <w:sz w:val="24"/>
        </w:rPr>
      </w:pPr>
    </w:p>
    <w:p w:rsidR="00013DAE" w:rsidRPr="00013DAE" w:rsidRDefault="00013DAE" w:rsidP="00013DAE">
      <w:pPr>
        <w:spacing w:line="360" w:lineRule="auto"/>
        <w:rPr>
          <w:sz w:val="24"/>
        </w:rPr>
      </w:pPr>
      <w:r w:rsidRPr="00013DAE">
        <w:rPr>
          <w:sz w:val="24"/>
        </w:rPr>
        <w:t xml:space="preserve">A director does not cease to hold </w:t>
      </w:r>
      <w:r w:rsidR="001C6258">
        <w:rPr>
          <w:sz w:val="24"/>
        </w:rPr>
        <w:t xml:space="preserve">that </w:t>
      </w:r>
      <w:r w:rsidRPr="00013DAE">
        <w:rPr>
          <w:sz w:val="24"/>
        </w:rPr>
        <w:t xml:space="preserve">office </w:t>
      </w:r>
      <w:r w:rsidR="001C6258">
        <w:rPr>
          <w:sz w:val="24"/>
        </w:rPr>
        <w:t xml:space="preserve">when </w:t>
      </w:r>
      <w:r w:rsidRPr="00013DAE">
        <w:rPr>
          <w:sz w:val="24"/>
        </w:rPr>
        <w:t xml:space="preserve">the company ceases commercial operations because the cessation of business operations does not deprive directors of the powers granted to them </w:t>
      </w:r>
      <w:r w:rsidR="001C6258">
        <w:rPr>
          <w:sz w:val="24"/>
        </w:rPr>
        <w:t xml:space="preserve">by statute </w:t>
      </w:r>
      <w:r w:rsidRPr="00013DAE">
        <w:rPr>
          <w:sz w:val="24"/>
        </w:rPr>
        <w:t>and does not relieve them from the corresponding obligations and responsibilities.</w:t>
      </w:r>
    </w:p>
    <w:p w:rsidR="00013DAE" w:rsidRPr="00013DAE" w:rsidRDefault="00013DAE" w:rsidP="00013DAE">
      <w:pPr>
        <w:spacing w:line="360" w:lineRule="auto"/>
        <w:rPr>
          <w:sz w:val="24"/>
        </w:rPr>
      </w:pPr>
      <w:proofErr w:type="spellStart"/>
      <w:proofErr w:type="gramStart"/>
      <w:r w:rsidRPr="00013DAE">
        <w:rPr>
          <w:sz w:val="24"/>
        </w:rPr>
        <w:t>Bremner</w:t>
      </w:r>
      <w:proofErr w:type="spellEnd"/>
      <w:r w:rsidRPr="00013DAE">
        <w:rPr>
          <w:sz w:val="24"/>
        </w:rPr>
        <w:t xml:space="preserve"> v.</w:t>
      </w:r>
      <w:proofErr w:type="gramEnd"/>
      <w:r w:rsidRPr="00013DAE">
        <w:rPr>
          <w:sz w:val="24"/>
        </w:rPr>
        <w:t xml:space="preserve"> The Queen, 2007 TCC 509 </w:t>
      </w:r>
      <w:proofErr w:type="spellStart"/>
      <w:r w:rsidRPr="00013DAE">
        <w:rPr>
          <w:sz w:val="24"/>
        </w:rPr>
        <w:t>CanLII</w:t>
      </w:r>
      <w:proofErr w:type="spellEnd"/>
    </w:p>
    <w:p w:rsidR="002B7515" w:rsidRDefault="00013DAE" w:rsidP="00013DAE">
      <w:pPr>
        <w:pStyle w:val="paragraphe"/>
        <w:spacing w:before="140"/>
        <w:ind w:firstLine="264"/>
        <w:rPr>
          <w:lang/>
        </w:rPr>
      </w:pPr>
      <w:r w:rsidRPr="001C61C4">
        <w:t xml:space="preserve"> </w:t>
      </w:r>
      <w:r>
        <w:rPr>
          <w:lang/>
        </w:rPr>
        <w:t xml:space="preserve">A person who </w:t>
      </w:r>
      <w:r w:rsidR="002B7515" w:rsidRPr="00013DAE">
        <w:rPr>
          <w:lang/>
        </w:rPr>
        <w:t xml:space="preserve">has not been properly appointed under the applicable corporate law as a director or who has resigned from that office </w:t>
      </w:r>
      <w:r>
        <w:rPr>
          <w:lang/>
        </w:rPr>
        <w:t xml:space="preserve">may be considered a de facto director and fixed with liability if </w:t>
      </w:r>
      <w:r w:rsidR="002B7515" w:rsidRPr="00013DAE">
        <w:rPr>
          <w:lang/>
        </w:rPr>
        <w:t>he or she performs the functions of a director of that company</w:t>
      </w:r>
      <w:r>
        <w:rPr>
          <w:lang/>
        </w:rPr>
        <w:t>.</w:t>
      </w:r>
    </w:p>
    <w:p w:rsidR="00013DAE" w:rsidRDefault="00013DAE" w:rsidP="002B7515">
      <w:pPr>
        <w:pStyle w:val="article"/>
        <w:spacing w:before="140"/>
        <w:ind w:firstLine="264"/>
        <w:rPr>
          <w:bCs/>
          <w:szCs w:val="20"/>
        </w:rPr>
      </w:pPr>
      <w:proofErr w:type="spellStart"/>
      <w:r>
        <w:rPr>
          <w:color w:val="000000"/>
          <w:lang/>
        </w:rPr>
        <w:t>Wheeliker</w:t>
      </w:r>
      <w:proofErr w:type="spellEnd"/>
      <w:r>
        <w:rPr>
          <w:color w:val="000000"/>
          <w:lang/>
        </w:rPr>
        <w:t xml:space="preserve"> v the Queen FCA</w:t>
      </w:r>
    </w:p>
    <w:p w:rsidR="0051099C" w:rsidRDefault="0051099C" w:rsidP="0051099C">
      <w:pPr>
        <w:pStyle w:val="paragraphe"/>
        <w:spacing w:before="140"/>
        <w:ind w:firstLine="264"/>
        <w:rPr>
          <w:lang/>
        </w:rPr>
      </w:pPr>
      <w:r>
        <w:rPr>
          <w:lang/>
        </w:rPr>
        <w:t xml:space="preserve">The general rule is that it is not appropriate to assess an alleged "de facto" director if there are legally appointed directors in office at the relevant times. The assessment of a </w:t>
      </w:r>
      <w:r w:rsidRPr="0051099C">
        <w:rPr>
          <w:lang/>
        </w:rPr>
        <w:t>de facto</w:t>
      </w:r>
      <w:r>
        <w:rPr>
          <w:lang/>
        </w:rPr>
        <w:t xml:space="preserve"> director should be considered only in cases where a person is representing himself or herself as a director. There should be written evidence of such behavior available to support the assessment.</w:t>
      </w:r>
    </w:p>
    <w:p w:rsidR="0051099C" w:rsidRPr="0051099C" w:rsidRDefault="0051099C" w:rsidP="0051099C">
      <w:pPr>
        <w:pStyle w:val="paragraphe"/>
        <w:spacing w:before="140"/>
        <w:ind w:firstLine="264"/>
        <w:rPr>
          <w:lang/>
        </w:rPr>
      </w:pPr>
      <w:proofErr w:type="spellStart"/>
      <w:proofErr w:type="gramStart"/>
      <w:r>
        <w:rPr>
          <w:lang/>
        </w:rPr>
        <w:t>Scavuzzo</w:t>
      </w:r>
      <w:proofErr w:type="spellEnd"/>
      <w:r>
        <w:rPr>
          <w:lang/>
        </w:rPr>
        <w:t>.</w:t>
      </w:r>
      <w:proofErr w:type="gramEnd"/>
    </w:p>
    <w:p w:rsidR="0051099C" w:rsidRPr="0051099C" w:rsidRDefault="0051099C" w:rsidP="0051099C">
      <w:pPr>
        <w:pStyle w:val="paragraphe"/>
        <w:spacing w:before="140"/>
        <w:ind w:firstLine="264"/>
        <w:rPr>
          <w:lang/>
        </w:rPr>
      </w:pPr>
      <w:r w:rsidRPr="0051099C">
        <w:rPr>
          <w:lang/>
        </w:rPr>
        <w:t xml:space="preserve">TCC 1996; McCormack v MNR 1995 TCC   Roll v MNR TCC 1992 </w:t>
      </w:r>
    </w:p>
    <w:p w:rsidR="00EF5DE6" w:rsidRPr="0051099C" w:rsidRDefault="00013DAE" w:rsidP="00EF5DE6">
      <w:pPr>
        <w:pStyle w:val="NormalWeb"/>
      </w:pPr>
      <w:r>
        <w:t>A director may avoid liability if he or she exercised the required degree of care</w:t>
      </w:r>
      <w:r w:rsidR="00EF5DE6">
        <w:t xml:space="preserve">, diligence and skill </w:t>
      </w:r>
      <w:r>
        <w:t xml:space="preserve">to prevent the failure by </w:t>
      </w:r>
      <w:r w:rsidR="0051099C">
        <w:t>the</w:t>
      </w:r>
      <w:r>
        <w:t xml:space="preserve"> corporation to remit the required tax.</w:t>
      </w:r>
      <w:r w:rsidR="00EF5DE6">
        <w:t xml:space="preserve"> A director relying on the due diligence defence will be required to </w:t>
      </w:r>
      <w:r w:rsidR="00EF5DE6" w:rsidRPr="0051099C">
        <w:t xml:space="preserve">lead evidence that, as a director, </w:t>
      </w:r>
      <w:r w:rsidR="00EF5DE6">
        <w:t xml:space="preserve">he or </w:t>
      </w:r>
      <w:r w:rsidR="00EF5DE6" w:rsidRPr="0051099C">
        <w:t xml:space="preserve">she exercised </w:t>
      </w:r>
      <w:r w:rsidR="00EF5DE6">
        <w:t xml:space="preserve">the degree of </w:t>
      </w:r>
      <w:r w:rsidR="00EF5DE6" w:rsidRPr="0051099C">
        <w:t xml:space="preserve">care, diligence and skill to prevent the on-going failure </w:t>
      </w:r>
      <w:r w:rsidR="00EF5DE6" w:rsidRPr="0051099C">
        <w:lastRenderedPageBreak/>
        <w:t>to deduct and remit under section 227.1 of the Act that a reasonably prudent person would have exercised in these circumstances.</w:t>
      </w:r>
    </w:p>
    <w:p w:rsidR="00EF5DE6" w:rsidRPr="0051099C" w:rsidRDefault="00EF5DE6" w:rsidP="00EF5DE6">
      <w:pPr>
        <w:spacing w:line="360" w:lineRule="auto"/>
        <w:rPr>
          <w:sz w:val="24"/>
          <w:szCs w:val="24"/>
        </w:rPr>
      </w:pPr>
      <w:proofErr w:type="gramStart"/>
      <w:r>
        <w:rPr>
          <w:sz w:val="24"/>
        </w:rPr>
        <w:t xml:space="preserve">Income Tax Act section 227.1(3); </w:t>
      </w:r>
      <w:r w:rsidRPr="0051099C">
        <w:rPr>
          <w:sz w:val="24"/>
          <w:szCs w:val="24"/>
        </w:rPr>
        <w:t xml:space="preserve">Hanson v. </w:t>
      </w:r>
      <w:smartTag w:uri="urn:schemas-microsoft-com:office:smarttags" w:element="place">
        <w:smartTag w:uri="urn:schemas-microsoft-com:office:smarttags" w:element="country-region">
          <w:r w:rsidRPr="0051099C">
            <w:rPr>
              <w:sz w:val="24"/>
              <w:szCs w:val="24"/>
            </w:rPr>
            <w:t>Canada</w:t>
          </w:r>
        </w:smartTag>
      </w:smartTag>
      <w:r w:rsidRPr="0051099C">
        <w:rPr>
          <w:sz w:val="24"/>
          <w:szCs w:val="24"/>
        </w:rPr>
        <w:t xml:space="preserve">, 2000 </w:t>
      </w:r>
      <w:proofErr w:type="spellStart"/>
      <w:r w:rsidRPr="0051099C">
        <w:rPr>
          <w:sz w:val="24"/>
          <w:szCs w:val="24"/>
        </w:rPr>
        <w:t>CanLII</w:t>
      </w:r>
      <w:proofErr w:type="spellEnd"/>
      <w:r w:rsidRPr="0051099C">
        <w:rPr>
          <w:sz w:val="24"/>
          <w:szCs w:val="24"/>
        </w:rPr>
        <w:t xml:space="preserve"> 16336 (F.C.A.)</w:t>
      </w:r>
      <w:proofErr w:type="gramEnd"/>
    </w:p>
    <w:p w:rsidR="00013DAE" w:rsidRDefault="00013DAE" w:rsidP="00013DAE">
      <w:pPr>
        <w:pStyle w:val="NormalWeb"/>
      </w:pPr>
      <w:r>
        <w:t xml:space="preserve">More diligence is required of experienced businesspersons and, generally, more diligence from an inside director than an outside director.  </w:t>
      </w:r>
    </w:p>
    <w:p w:rsidR="00013DAE" w:rsidRDefault="00EF5DE6" w:rsidP="00013DAE">
      <w:pPr>
        <w:spacing w:line="360" w:lineRule="auto"/>
        <w:rPr>
          <w:sz w:val="24"/>
        </w:rPr>
      </w:pPr>
      <w:r>
        <w:rPr>
          <w:sz w:val="24"/>
        </w:rPr>
        <w:t xml:space="preserve">; </w:t>
      </w:r>
      <w:r w:rsidR="00013DAE">
        <w:rPr>
          <w:sz w:val="24"/>
        </w:rPr>
        <w:t xml:space="preserve">Holmes v R 2001; </w:t>
      </w:r>
      <w:proofErr w:type="spellStart"/>
      <w:r w:rsidR="00013DAE">
        <w:rPr>
          <w:sz w:val="24"/>
        </w:rPr>
        <w:t>Wheeliker</w:t>
      </w:r>
      <w:proofErr w:type="spellEnd"/>
      <w:r w:rsidR="00013DAE">
        <w:rPr>
          <w:sz w:val="24"/>
        </w:rPr>
        <w:t xml:space="preserve"> v R 2000 FCA leave to appeal refused SCC</w:t>
      </w:r>
      <w:proofErr w:type="gramStart"/>
      <w:r w:rsidR="00013DAE">
        <w:rPr>
          <w:sz w:val="24"/>
        </w:rPr>
        <w:t xml:space="preserve">;  </w:t>
      </w:r>
      <w:proofErr w:type="spellStart"/>
      <w:r w:rsidR="00013DAE">
        <w:rPr>
          <w:sz w:val="24"/>
        </w:rPr>
        <w:t>Soper</w:t>
      </w:r>
      <w:proofErr w:type="spellEnd"/>
      <w:proofErr w:type="gramEnd"/>
      <w:r w:rsidR="00013DAE">
        <w:rPr>
          <w:sz w:val="24"/>
        </w:rPr>
        <w:t xml:space="preserve"> v </w:t>
      </w:r>
      <w:smartTag w:uri="urn:schemas-microsoft-com:office:smarttags" w:element="country-region">
        <w:r w:rsidR="00013DAE">
          <w:rPr>
            <w:sz w:val="24"/>
          </w:rPr>
          <w:t>Canada</w:t>
        </w:r>
      </w:smartTag>
      <w:r w:rsidR="00013DAE">
        <w:rPr>
          <w:sz w:val="24"/>
        </w:rPr>
        <w:t xml:space="preserve"> 1997 </w:t>
      </w:r>
      <w:proofErr w:type="spellStart"/>
      <w:r w:rsidR="00013DAE">
        <w:rPr>
          <w:sz w:val="24"/>
        </w:rPr>
        <w:t>CanLII</w:t>
      </w:r>
      <w:proofErr w:type="spellEnd"/>
      <w:r w:rsidR="00013DAE">
        <w:rPr>
          <w:sz w:val="24"/>
        </w:rPr>
        <w:t xml:space="preserve"> 6352 (F.C.A.); Drover v </w:t>
      </w:r>
      <w:smartTag w:uri="urn:schemas-microsoft-com:office:smarttags" w:element="country-region">
        <w:smartTag w:uri="urn:schemas-microsoft-com:office:smarttags" w:element="place">
          <w:r w:rsidR="00013DAE">
            <w:rPr>
              <w:sz w:val="24"/>
            </w:rPr>
            <w:t>Canada</w:t>
          </w:r>
        </w:smartTag>
      </w:smartTag>
      <w:r w:rsidR="00013DAE">
        <w:rPr>
          <w:sz w:val="24"/>
        </w:rPr>
        <w:t xml:space="preserve"> 1998 </w:t>
      </w:r>
      <w:proofErr w:type="spellStart"/>
      <w:r w:rsidR="00013DAE">
        <w:rPr>
          <w:sz w:val="24"/>
        </w:rPr>
        <w:t>CanLII</w:t>
      </w:r>
      <w:proofErr w:type="spellEnd"/>
      <w:r w:rsidR="00013DAE">
        <w:rPr>
          <w:sz w:val="24"/>
        </w:rPr>
        <w:t xml:space="preserve"> 7889 (F.C.A.)</w:t>
      </w:r>
    </w:p>
    <w:p w:rsidR="00013DAE" w:rsidRDefault="00013DAE" w:rsidP="00013DAE">
      <w:pPr>
        <w:spacing w:line="360" w:lineRule="auto"/>
        <w:rPr>
          <w:lang/>
        </w:rPr>
      </w:pPr>
    </w:p>
    <w:p w:rsidR="00013DAE" w:rsidRPr="0051099C" w:rsidRDefault="00013DAE" w:rsidP="00013DAE">
      <w:pPr>
        <w:spacing w:line="360" w:lineRule="auto"/>
        <w:rPr>
          <w:sz w:val="24"/>
          <w:szCs w:val="24"/>
        </w:rPr>
      </w:pPr>
      <w:r w:rsidRPr="0051099C">
        <w:rPr>
          <w:sz w:val="24"/>
          <w:szCs w:val="24"/>
        </w:rPr>
        <w:t xml:space="preserve">An outside director will meet the standard </w:t>
      </w:r>
      <w:r w:rsidR="0051099C" w:rsidRPr="0051099C">
        <w:rPr>
          <w:sz w:val="24"/>
          <w:szCs w:val="24"/>
        </w:rPr>
        <w:t xml:space="preserve">required </w:t>
      </w:r>
      <w:r w:rsidRPr="0051099C">
        <w:rPr>
          <w:sz w:val="24"/>
          <w:szCs w:val="24"/>
        </w:rPr>
        <w:t xml:space="preserve">by ensuring that the business is viable before investing money in it, </w:t>
      </w:r>
      <w:r w:rsidR="00EF5DE6">
        <w:rPr>
          <w:sz w:val="24"/>
          <w:szCs w:val="24"/>
        </w:rPr>
        <w:t xml:space="preserve">and that </w:t>
      </w:r>
      <w:r w:rsidR="001A5300" w:rsidRPr="0051099C">
        <w:rPr>
          <w:sz w:val="24"/>
          <w:szCs w:val="24"/>
        </w:rPr>
        <w:t xml:space="preserve">there are </w:t>
      </w:r>
      <w:r w:rsidRPr="0051099C">
        <w:rPr>
          <w:sz w:val="24"/>
          <w:szCs w:val="24"/>
        </w:rPr>
        <w:t xml:space="preserve">reliable and competent people who undertake the day-to-day management of the business, if </w:t>
      </w:r>
      <w:r w:rsidR="001A5300" w:rsidRPr="0051099C">
        <w:rPr>
          <w:sz w:val="24"/>
          <w:szCs w:val="24"/>
        </w:rPr>
        <w:t xml:space="preserve">the director </w:t>
      </w:r>
      <w:r w:rsidRPr="0051099C">
        <w:rPr>
          <w:sz w:val="24"/>
          <w:szCs w:val="24"/>
        </w:rPr>
        <w:t>stays generally informed about what is happening, if nothing happens which should arouse suspicion about the payment of the corporation</w:t>
      </w:r>
      <w:r w:rsidR="001A5300" w:rsidRPr="0051099C">
        <w:rPr>
          <w:sz w:val="24"/>
          <w:szCs w:val="24"/>
        </w:rPr>
        <w:t>’</w:t>
      </w:r>
      <w:r w:rsidRPr="0051099C">
        <w:rPr>
          <w:sz w:val="24"/>
          <w:szCs w:val="24"/>
        </w:rPr>
        <w:t xml:space="preserve">s liabilities, </w:t>
      </w:r>
      <w:r w:rsidR="0051099C" w:rsidRPr="0051099C">
        <w:rPr>
          <w:sz w:val="24"/>
          <w:szCs w:val="24"/>
        </w:rPr>
        <w:t xml:space="preserve">and </w:t>
      </w:r>
      <w:r w:rsidRPr="0051099C">
        <w:rPr>
          <w:sz w:val="24"/>
          <w:szCs w:val="24"/>
        </w:rPr>
        <w:t xml:space="preserve">if </w:t>
      </w:r>
      <w:r w:rsidR="001A5300" w:rsidRPr="0051099C">
        <w:rPr>
          <w:sz w:val="24"/>
          <w:szCs w:val="24"/>
        </w:rPr>
        <w:t xml:space="preserve">the director </w:t>
      </w:r>
      <w:r w:rsidRPr="0051099C">
        <w:rPr>
          <w:sz w:val="24"/>
          <w:szCs w:val="24"/>
        </w:rPr>
        <w:t>acts quickly when problems</w:t>
      </w:r>
      <w:r w:rsidR="00EF5DE6">
        <w:rPr>
          <w:sz w:val="24"/>
          <w:szCs w:val="24"/>
        </w:rPr>
        <w:t xml:space="preserve"> arise</w:t>
      </w:r>
      <w:r w:rsidR="0051099C" w:rsidRPr="0051099C">
        <w:rPr>
          <w:sz w:val="24"/>
          <w:szCs w:val="24"/>
        </w:rPr>
        <w:t>.</w:t>
      </w:r>
    </w:p>
    <w:p w:rsidR="00013DAE" w:rsidRPr="0051099C" w:rsidRDefault="00013DAE" w:rsidP="00013DAE">
      <w:pPr>
        <w:pStyle w:val="Heading1"/>
        <w:rPr>
          <w:b w:val="0"/>
          <w:szCs w:val="24"/>
        </w:rPr>
      </w:pPr>
      <w:proofErr w:type="spellStart"/>
      <w:proofErr w:type="gramStart"/>
      <w:r w:rsidRPr="0051099C">
        <w:rPr>
          <w:b w:val="0"/>
          <w:szCs w:val="24"/>
        </w:rPr>
        <w:t>Cadrin</w:t>
      </w:r>
      <w:proofErr w:type="spellEnd"/>
      <w:r w:rsidRPr="0051099C">
        <w:rPr>
          <w:b w:val="0"/>
          <w:szCs w:val="24"/>
        </w:rPr>
        <w:t xml:space="preserve"> v. </w:t>
      </w:r>
      <w:smartTag w:uri="urn:schemas-microsoft-com:office:smarttags" w:element="place">
        <w:smartTag w:uri="urn:schemas-microsoft-com:office:smarttags" w:element="country-region">
          <w:r w:rsidRPr="0051099C">
            <w:rPr>
              <w:b w:val="0"/>
              <w:szCs w:val="24"/>
            </w:rPr>
            <w:t>Canada</w:t>
          </w:r>
        </w:smartTag>
      </w:smartTag>
      <w:r w:rsidRPr="0051099C">
        <w:rPr>
          <w:b w:val="0"/>
          <w:szCs w:val="24"/>
        </w:rPr>
        <w:t xml:space="preserve">, 1998 </w:t>
      </w:r>
      <w:proofErr w:type="spellStart"/>
      <w:r w:rsidRPr="0051099C">
        <w:rPr>
          <w:b w:val="0"/>
          <w:szCs w:val="24"/>
        </w:rPr>
        <w:t>CanLII</w:t>
      </w:r>
      <w:proofErr w:type="spellEnd"/>
      <w:r w:rsidRPr="0051099C">
        <w:rPr>
          <w:b w:val="0"/>
          <w:szCs w:val="24"/>
        </w:rPr>
        <w:t xml:space="preserve"> 8885 (F.C.A.)</w:t>
      </w:r>
      <w:proofErr w:type="gramEnd"/>
    </w:p>
    <w:p w:rsidR="0051099C" w:rsidRDefault="0051099C" w:rsidP="00013DAE">
      <w:pPr>
        <w:spacing w:line="360" w:lineRule="auto"/>
        <w:rPr>
          <w:sz w:val="24"/>
          <w:szCs w:val="24"/>
        </w:rPr>
      </w:pPr>
    </w:p>
    <w:p w:rsidR="00515E3C" w:rsidRPr="0051099C" w:rsidRDefault="00515E3C" w:rsidP="00515E3C">
      <w:pPr>
        <w:pStyle w:val="NormalWeb"/>
      </w:pPr>
      <w:r w:rsidRPr="0051099C">
        <w:t xml:space="preserve">A director is required only to act reasonably in the circumstances. The fact that his </w:t>
      </w:r>
      <w:r w:rsidR="0051099C" w:rsidRPr="0051099C">
        <w:t xml:space="preserve">or her </w:t>
      </w:r>
      <w:r w:rsidRPr="0051099C">
        <w:t xml:space="preserve">efforts are unsuccessful does not establish that he </w:t>
      </w:r>
      <w:r w:rsidR="0051099C" w:rsidRPr="0051099C">
        <w:t xml:space="preserve">or she </w:t>
      </w:r>
      <w:r w:rsidRPr="0051099C">
        <w:t>has failed to act reasonably.</w:t>
      </w:r>
    </w:p>
    <w:p w:rsidR="00515E3C" w:rsidRPr="0051099C" w:rsidRDefault="00515E3C" w:rsidP="00515E3C">
      <w:pPr>
        <w:pStyle w:val="Heading1"/>
        <w:rPr>
          <w:b w:val="0"/>
          <w:szCs w:val="24"/>
        </w:rPr>
      </w:pPr>
      <w:r w:rsidRPr="0051099C">
        <w:rPr>
          <w:b w:val="0"/>
          <w:szCs w:val="24"/>
        </w:rPr>
        <w:t xml:space="preserve">Smith v. </w:t>
      </w:r>
      <w:smartTag w:uri="urn:schemas-microsoft-com:office:smarttags" w:element="place">
        <w:smartTag w:uri="urn:schemas-microsoft-com:office:smarttags" w:element="country-region">
          <w:r w:rsidRPr="0051099C">
            <w:rPr>
              <w:b w:val="0"/>
              <w:szCs w:val="24"/>
            </w:rPr>
            <w:t>Canada</w:t>
          </w:r>
        </w:smartTag>
      </w:smartTag>
      <w:r w:rsidRPr="0051099C">
        <w:rPr>
          <w:b w:val="0"/>
          <w:szCs w:val="24"/>
        </w:rPr>
        <w:t>, 2001 FCA 84 (</w:t>
      </w:r>
      <w:proofErr w:type="spellStart"/>
      <w:r w:rsidRPr="0051099C">
        <w:rPr>
          <w:b w:val="0"/>
          <w:szCs w:val="24"/>
        </w:rPr>
        <w:t>CanLII</w:t>
      </w:r>
      <w:proofErr w:type="spellEnd"/>
      <w:r w:rsidRPr="0051099C">
        <w:rPr>
          <w:b w:val="0"/>
          <w:szCs w:val="24"/>
        </w:rPr>
        <w:t>)</w:t>
      </w:r>
    </w:p>
    <w:p w:rsidR="0051099C" w:rsidRDefault="0051099C" w:rsidP="00710B74">
      <w:pPr>
        <w:spacing w:line="360" w:lineRule="auto"/>
        <w:rPr>
          <w:sz w:val="24"/>
        </w:rPr>
      </w:pPr>
    </w:p>
    <w:p w:rsidR="00710B74" w:rsidRDefault="00710B74" w:rsidP="00710B74">
      <w:pPr>
        <w:spacing w:line="360" w:lineRule="auto"/>
        <w:rPr>
          <w:sz w:val="24"/>
        </w:rPr>
      </w:pPr>
      <w:r>
        <w:rPr>
          <w:sz w:val="24"/>
        </w:rPr>
        <w:t xml:space="preserve">A director who has been assessed </w:t>
      </w:r>
      <w:r w:rsidR="001C61C4">
        <w:rPr>
          <w:sz w:val="24"/>
        </w:rPr>
        <w:t xml:space="preserve">for </w:t>
      </w:r>
      <w:r>
        <w:rPr>
          <w:sz w:val="24"/>
        </w:rPr>
        <w:t>under these sections has the right to challenge the underlying assessment to the company</w:t>
      </w:r>
      <w:r w:rsidR="00EF5DE6">
        <w:rPr>
          <w:sz w:val="24"/>
        </w:rPr>
        <w:t>.</w:t>
      </w:r>
    </w:p>
    <w:p w:rsidR="00967E02" w:rsidRDefault="00710B74" w:rsidP="00710B74">
      <w:pPr>
        <w:spacing w:line="360" w:lineRule="auto"/>
        <w:rPr>
          <w:sz w:val="24"/>
        </w:rPr>
      </w:pPr>
      <w:r>
        <w:rPr>
          <w:sz w:val="24"/>
        </w:rPr>
        <w:t xml:space="preserve">R v </w:t>
      </w:r>
      <w:proofErr w:type="spellStart"/>
      <w:r>
        <w:rPr>
          <w:sz w:val="24"/>
        </w:rPr>
        <w:t>Scavuzzo</w:t>
      </w:r>
      <w:proofErr w:type="spellEnd"/>
      <w:r>
        <w:rPr>
          <w:sz w:val="24"/>
        </w:rPr>
        <w:t xml:space="preserve"> 200 </w:t>
      </w:r>
      <w:proofErr w:type="gramStart"/>
      <w:r>
        <w:rPr>
          <w:sz w:val="24"/>
        </w:rPr>
        <w:t>TCC  Kern</w:t>
      </w:r>
      <w:proofErr w:type="gramEnd"/>
      <w:r>
        <w:rPr>
          <w:sz w:val="24"/>
        </w:rPr>
        <w:t xml:space="preserve"> </w:t>
      </w:r>
      <w:r w:rsidR="00967E02">
        <w:rPr>
          <w:sz w:val="24"/>
        </w:rPr>
        <w:t xml:space="preserve">supra </w:t>
      </w:r>
    </w:p>
    <w:p w:rsidR="00967E02" w:rsidRDefault="00967E02" w:rsidP="00710B74">
      <w:pPr>
        <w:spacing w:line="360" w:lineRule="auto"/>
        <w:rPr>
          <w:sz w:val="24"/>
        </w:rPr>
      </w:pPr>
    </w:p>
    <w:p w:rsidR="00EF5DE6" w:rsidRDefault="00710B74" w:rsidP="00710B74">
      <w:pPr>
        <w:spacing w:line="360" w:lineRule="auto"/>
        <w:rPr>
          <w:sz w:val="24"/>
        </w:rPr>
      </w:pPr>
      <w:r>
        <w:rPr>
          <w:sz w:val="24"/>
        </w:rPr>
        <w:t>If a receiver is in control of the company this may afford the director a defence for tax not remitted during that period.</w:t>
      </w:r>
    </w:p>
    <w:p w:rsidR="00710B74" w:rsidRDefault="00710B74" w:rsidP="00710B74">
      <w:pPr>
        <w:spacing w:line="360" w:lineRule="auto"/>
        <w:rPr>
          <w:sz w:val="24"/>
        </w:rPr>
      </w:pPr>
      <w:proofErr w:type="spellStart"/>
      <w:r>
        <w:rPr>
          <w:sz w:val="24"/>
        </w:rPr>
        <w:t>Robitaille</w:t>
      </w:r>
      <w:proofErr w:type="spellEnd"/>
      <w:r>
        <w:rPr>
          <w:sz w:val="24"/>
        </w:rPr>
        <w:t xml:space="preserve"> 1990 </w:t>
      </w:r>
      <w:proofErr w:type="gramStart"/>
      <w:r>
        <w:rPr>
          <w:sz w:val="24"/>
        </w:rPr>
        <w:t>FCTD  Danielson</w:t>
      </w:r>
      <w:proofErr w:type="gramEnd"/>
      <w:r>
        <w:rPr>
          <w:sz w:val="24"/>
        </w:rPr>
        <w:t xml:space="preserve"> v MNR 1986 </w:t>
      </w:r>
    </w:p>
    <w:p w:rsidR="00710B74" w:rsidRPr="00EF5DE6" w:rsidRDefault="00710B74">
      <w:pPr>
        <w:spacing w:line="360" w:lineRule="auto"/>
        <w:rPr>
          <w:sz w:val="24"/>
        </w:rPr>
      </w:pPr>
    </w:p>
    <w:p w:rsidR="0092656E" w:rsidRPr="00EF5DE6" w:rsidRDefault="00233463">
      <w:pPr>
        <w:spacing w:line="360" w:lineRule="auto"/>
        <w:rPr>
          <w:b/>
          <w:sz w:val="24"/>
        </w:rPr>
      </w:pPr>
      <w:r w:rsidRPr="00EF5DE6">
        <w:rPr>
          <w:b/>
          <w:sz w:val="24"/>
        </w:rPr>
        <w:t>Section 231 Demands</w:t>
      </w:r>
    </w:p>
    <w:p w:rsidR="00804FFF" w:rsidRPr="00EF5DE6" w:rsidRDefault="00804FFF" w:rsidP="00EF5DE6">
      <w:pPr>
        <w:spacing w:line="360" w:lineRule="auto"/>
        <w:rPr>
          <w:sz w:val="24"/>
        </w:rPr>
      </w:pPr>
      <w:r w:rsidRPr="00EF5DE6">
        <w:rPr>
          <w:bCs/>
          <w:sz w:val="24"/>
        </w:rPr>
        <w:t>CRA has broad powers to require third parties to provide information</w:t>
      </w:r>
      <w:r w:rsidR="00EF5DE6">
        <w:rPr>
          <w:bCs/>
          <w:sz w:val="24"/>
        </w:rPr>
        <w:t>.</w:t>
      </w:r>
      <w:r w:rsidRPr="00EF5DE6">
        <w:rPr>
          <w:bCs/>
          <w:sz w:val="24"/>
        </w:rPr>
        <w:t xml:space="preserve">  Section </w:t>
      </w:r>
      <w:r w:rsidR="00FF3A74" w:rsidRPr="00EF5DE6">
        <w:rPr>
          <w:bCs/>
          <w:sz w:val="24"/>
        </w:rPr>
        <w:t>231.2</w:t>
      </w:r>
      <w:r w:rsidR="00FF3A74" w:rsidRPr="00EF5DE6">
        <w:rPr>
          <w:sz w:val="24"/>
        </w:rPr>
        <w:t xml:space="preserve"> (1)</w:t>
      </w:r>
      <w:r w:rsidRPr="00EF5DE6">
        <w:rPr>
          <w:sz w:val="24"/>
        </w:rPr>
        <w:t xml:space="preserve"> of the </w:t>
      </w:r>
      <w:r w:rsidR="00EF5DE6" w:rsidRPr="00EF5DE6">
        <w:rPr>
          <w:i/>
          <w:sz w:val="24"/>
        </w:rPr>
        <w:t>I</w:t>
      </w:r>
      <w:r w:rsidRPr="00EF5DE6">
        <w:rPr>
          <w:i/>
          <w:sz w:val="24"/>
        </w:rPr>
        <w:t xml:space="preserve">ncome </w:t>
      </w:r>
      <w:r w:rsidR="00EF5DE6" w:rsidRPr="00EF5DE6">
        <w:rPr>
          <w:i/>
          <w:sz w:val="24"/>
        </w:rPr>
        <w:t>T</w:t>
      </w:r>
      <w:r w:rsidRPr="00EF5DE6">
        <w:rPr>
          <w:i/>
          <w:sz w:val="24"/>
        </w:rPr>
        <w:t xml:space="preserve">ax </w:t>
      </w:r>
      <w:r w:rsidR="00EF5DE6" w:rsidRPr="00EF5DE6">
        <w:rPr>
          <w:i/>
          <w:sz w:val="24"/>
        </w:rPr>
        <w:t>A</w:t>
      </w:r>
      <w:r w:rsidRPr="00EF5DE6">
        <w:rPr>
          <w:i/>
          <w:sz w:val="24"/>
        </w:rPr>
        <w:t>ct</w:t>
      </w:r>
      <w:r w:rsidRPr="00EF5DE6">
        <w:rPr>
          <w:sz w:val="24"/>
        </w:rPr>
        <w:t xml:space="preserve"> provides that the </w:t>
      </w:r>
      <w:r w:rsidR="00FF3A74" w:rsidRPr="00EF5DE6">
        <w:rPr>
          <w:sz w:val="24"/>
        </w:rPr>
        <w:t>Minister may</w:t>
      </w:r>
      <w:r w:rsidRPr="00EF5DE6">
        <w:rPr>
          <w:sz w:val="24"/>
        </w:rPr>
        <w:t xml:space="preserve"> require anyone to provide information or documents for “</w:t>
      </w:r>
      <w:r w:rsidR="00FF3A74" w:rsidRPr="00EF5DE6">
        <w:rPr>
          <w:sz w:val="24"/>
        </w:rPr>
        <w:t xml:space="preserve">any purpose related to the administration or enforcement </w:t>
      </w:r>
      <w:r w:rsidR="00FF3A74" w:rsidRPr="00EF5DE6">
        <w:rPr>
          <w:sz w:val="24"/>
        </w:rPr>
        <w:lastRenderedPageBreak/>
        <w:t>of this Act, including the collection of any amount payable under this Act by any person</w:t>
      </w:r>
      <w:r w:rsidRPr="00EF5DE6">
        <w:rPr>
          <w:sz w:val="24"/>
        </w:rPr>
        <w:t>”.</w:t>
      </w:r>
    </w:p>
    <w:p w:rsidR="00804FFF" w:rsidRDefault="00771683" w:rsidP="00EF5DE6">
      <w:pPr>
        <w:spacing w:line="360" w:lineRule="auto"/>
        <w:rPr>
          <w:sz w:val="24"/>
        </w:rPr>
      </w:pPr>
      <w:r>
        <w:rPr>
          <w:sz w:val="24"/>
        </w:rPr>
        <w:t xml:space="preserve">Federal Court cases have decided that a demand made pursuant to section 231.2 of the </w:t>
      </w:r>
      <w:r w:rsidRPr="00EF5DE6">
        <w:rPr>
          <w:i/>
          <w:sz w:val="24"/>
        </w:rPr>
        <w:t>Income Tax Act</w:t>
      </w:r>
      <w:r w:rsidRPr="00EF5DE6">
        <w:rPr>
          <w:sz w:val="24"/>
        </w:rPr>
        <w:t xml:space="preserve"> </w:t>
      </w:r>
      <w:r>
        <w:rPr>
          <w:sz w:val="24"/>
        </w:rPr>
        <w:t xml:space="preserve">is not a ”proceeding” as defined by section 69.3 of the </w:t>
      </w:r>
      <w:r w:rsidR="00967967" w:rsidRPr="00EF5DE6">
        <w:rPr>
          <w:i/>
          <w:sz w:val="24"/>
        </w:rPr>
        <w:t>Bankruptcy and Insolvency Act</w:t>
      </w:r>
      <w:r>
        <w:rPr>
          <w:sz w:val="24"/>
        </w:rPr>
        <w:t xml:space="preserve"> so the stay provisions of the </w:t>
      </w:r>
      <w:r w:rsidR="00967967" w:rsidRPr="00EF5DE6">
        <w:rPr>
          <w:i/>
          <w:sz w:val="24"/>
        </w:rPr>
        <w:t>Bankruptcy and Insolvency Act</w:t>
      </w:r>
      <w:r w:rsidRPr="00EF5DE6">
        <w:rPr>
          <w:sz w:val="24"/>
        </w:rPr>
        <w:t xml:space="preserve"> </w:t>
      </w:r>
      <w:r>
        <w:rPr>
          <w:sz w:val="24"/>
        </w:rPr>
        <w:t xml:space="preserve"> do not apply</w:t>
      </w:r>
      <w:r w:rsidRPr="00EF5DE6">
        <w:rPr>
          <w:sz w:val="24"/>
        </w:rPr>
        <w:t xml:space="preserve">.  </w:t>
      </w:r>
      <w:r>
        <w:rPr>
          <w:sz w:val="24"/>
        </w:rPr>
        <w:t xml:space="preserve"> </w:t>
      </w:r>
      <w:r w:rsidR="0092656E">
        <w:rPr>
          <w:sz w:val="24"/>
        </w:rPr>
        <w:t>Even though there is a bankruptcy</w:t>
      </w:r>
      <w:r>
        <w:rPr>
          <w:sz w:val="24"/>
        </w:rPr>
        <w:t>,</w:t>
      </w:r>
      <w:r w:rsidR="0092656E">
        <w:rPr>
          <w:sz w:val="24"/>
        </w:rPr>
        <w:t xml:space="preserve"> </w:t>
      </w:r>
      <w:r w:rsidR="00804FFF">
        <w:rPr>
          <w:sz w:val="24"/>
        </w:rPr>
        <w:t xml:space="preserve">CRA </w:t>
      </w:r>
      <w:r w:rsidR="0092656E">
        <w:rPr>
          <w:sz w:val="24"/>
        </w:rPr>
        <w:t>is permitted to use its powers to make demands for books and records from various third parties</w:t>
      </w:r>
      <w:r w:rsidR="00EF5DE6">
        <w:rPr>
          <w:sz w:val="24"/>
        </w:rPr>
        <w:t>,</w:t>
      </w:r>
      <w:r w:rsidR="0092656E">
        <w:rPr>
          <w:sz w:val="24"/>
        </w:rPr>
        <w:t xml:space="preserve"> including the </w:t>
      </w:r>
      <w:r w:rsidR="00EF5DE6">
        <w:rPr>
          <w:sz w:val="24"/>
        </w:rPr>
        <w:t>t</w:t>
      </w:r>
      <w:r w:rsidR="0092656E">
        <w:rPr>
          <w:sz w:val="24"/>
        </w:rPr>
        <w:t>rustee</w:t>
      </w:r>
      <w:r w:rsidR="00304165">
        <w:rPr>
          <w:sz w:val="24"/>
        </w:rPr>
        <w:t xml:space="preserve"> and the </w:t>
      </w:r>
      <w:r w:rsidR="00EF5DE6">
        <w:rPr>
          <w:sz w:val="24"/>
        </w:rPr>
        <w:t>b</w:t>
      </w:r>
      <w:r w:rsidR="00304165">
        <w:rPr>
          <w:sz w:val="24"/>
        </w:rPr>
        <w:t>ankrupt</w:t>
      </w:r>
      <w:r w:rsidR="0092656E">
        <w:rPr>
          <w:sz w:val="24"/>
        </w:rPr>
        <w:t>.</w:t>
      </w:r>
    </w:p>
    <w:p w:rsidR="00771683" w:rsidRPr="00771683" w:rsidRDefault="0092656E" w:rsidP="00771683">
      <w:pPr>
        <w:spacing w:before="100" w:beforeAutospacing="1" w:after="100" w:afterAutospacing="1"/>
        <w:rPr>
          <w:sz w:val="24"/>
          <w:szCs w:val="24"/>
          <w:lang/>
        </w:rPr>
      </w:pPr>
      <w:r>
        <w:rPr>
          <w:i/>
          <w:sz w:val="24"/>
        </w:rPr>
        <w:t xml:space="preserve">Vancouver Trade v. </w:t>
      </w:r>
      <w:smartTag w:uri="urn:schemas-microsoft-com:office:smarttags" w:element="place">
        <w:smartTag w:uri="urn:schemas-microsoft-com:office:smarttags" w:element="country-region">
          <w:r>
            <w:rPr>
              <w:i/>
              <w:sz w:val="24"/>
            </w:rPr>
            <w:t>Canada</w:t>
          </w:r>
        </w:smartTag>
      </w:smartTag>
      <w:r>
        <w:rPr>
          <w:i/>
          <w:sz w:val="24"/>
        </w:rPr>
        <w:t xml:space="preserve"> </w:t>
      </w:r>
      <w:r>
        <w:rPr>
          <w:sz w:val="24"/>
        </w:rPr>
        <w:t xml:space="preserve"> 1997 50 CBR 3</w:t>
      </w:r>
      <w:r>
        <w:rPr>
          <w:sz w:val="24"/>
          <w:vertAlign w:val="superscript"/>
        </w:rPr>
        <w:t>rd</w:t>
      </w:r>
      <w:r>
        <w:rPr>
          <w:sz w:val="24"/>
        </w:rPr>
        <w:t xml:space="preserve"> 138</w:t>
      </w:r>
      <w:r w:rsidR="00771683">
        <w:rPr>
          <w:sz w:val="24"/>
        </w:rPr>
        <w:t xml:space="preserve">; </w:t>
      </w:r>
      <w:r w:rsidR="00771683" w:rsidRPr="00771683">
        <w:rPr>
          <w:i/>
          <w:sz w:val="24"/>
        </w:rPr>
        <w:t>M.N.R. v Stern</w:t>
      </w:r>
      <w:r w:rsidR="00771683">
        <w:rPr>
          <w:sz w:val="24"/>
        </w:rPr>
        <w:t xml:space="preserve"> 2004 FC 763; </w:t>
      </w:r>
      <w:proofErr w:type="spellStart"/>
      <w:r w:rsidR="00771683" w:rsidRPr="00771683">
        <w:rPr>
          <w:i/>
          <w:sz w:val="24"/>
        </w:rPr>
        <w:t>Fabi</w:t>
      </w:r>
      <w:proofErr w:type="spellEnd"/>
      <w:r w:rsidR="00771683" w:rsidRPr="00771683">
        <w:rPr>
          <w:i/>
          <w:sz w:val="24"/>
        </w:rPr>
        <w:t xml:space="preserve"> v M.N.R</w:t>
      </w:r>
      <w:r w:rsidR="00771683">
        <w:rPr>
          <w:sz w:val="24"/>
        </w:rPr>
        <w:t>. [2006] F.C.J. no. 43</w:t>
      </w:r>
      <w:r w:rsidR="00804FFF">
        <w:rPr>
          <w:sz w:val="24"/>
        </w:rPr>
        <w:t>;</w:t>
      </w:r>
      <w:r w:rsidR="00771683" w:rsidRPr="00771683">
        <w:rPr>
          <w:sz w:val="24"/>
          <w:szCs w:val="24"/>
          <w:lang/>
        </w:rPr>
        <w:t xml:space="preserve"> </w:t>
      </w:r>
      <w:r w:rsidR="00771683" w:rsidRPr="00771683">
        <w:rPr>
          <w:i/>
          <w:iCs/>
          <w:sz w:val="24"/>
          <w:szCs w:val="24"/>
          <w:lang/>
        </w:rPr>
        <w:t xml:space="preserve">Carrefour </w:t>
      </w:r>
      <w:proofErr w:type="spellStart"/>
      <w:r w:rsidR="00771683" w:rsidRPr="00771683">
        <w:rPr>
          <w:i/>
          <w:iCs/>
          <w:sz w:val="24"/>
          <w:szCs w:val="24"/>
          <w:lang/>
        </w:rPr>
        <w:t>Langelier</w:t>
      </w:r>
      <w:proofErr w:type="spellEnd"/>
      <w:r w:rsidR="00771683" w:rsidRPr="00771683">
        <w:rPr>
          <w:i/>
          <w:iCs/>
          <w:sz w:val="24"/>
          <w:szCs w:val="24"/>
          <w:lang/>
        </w:rPr>
        <w:t xml:space="preserve"> Inc. v. Canada (Customs and Revenue Agency)</w:t>
      </w:r>
      <w:r w:rsidR="00771683" w:rsidRPr="00771683">
        <w:rPr>
          <w:sz w:val="24"/>
          <w:szCs w:val="24"/>
          <w:lang/>
        </w:rPr>
        <w:t xml:space="preserve"> </w:t>
      </w:r>
      <w:bookmarkStart w:id="6" w:name="reflex-caselaw-2747178"/>
      <w:r w:rsidR="00771683" w:rsidRPr="00771683">
        <w:rPr>
          <w:sz w:val="24"/>
          <w:szCs w:val="24"/>
          <w:lang/>
        </w:rPr>
        <w:fldChar w:fldCharType="begin"/>
      </w:r>
      <w:r w:rsidR="00771683" w:rsidRPr="00771683">
        <w:rPr>
          <w:sz w:val="24"/>
          <w:szCs w:val="24"/>
          <w:lang/>
        </w:rPr>
        <w:instrText xml:space="preserve"> HYPERLINK "http://www.canlii.org/en/ca/fct/doc/2003/2003fc1403/2003fc1403.html" </w:instrText>
      </w:r>
      <w:r w:rsidR="00771683" w:rsidRPr="00771683">
        <w:rPr>
          <w:sz w:val="24"/>
          <w:szCs w:val="24"/>
          <w:lang/>
        </w:rPr>
        <w:fldChar w:fldCharType="separate"/>
      </w:r>
      <w:r w:rsidR="00771683" w:rsidRPr="00771683">
        <w:rPr>
          <w:color w:val="027ABB"/>
          <w:sz w:val="24"/>
          <w:szCs w:val="24"/>
          <w:lang/>
        </w:rPr>
        <w:t>2003 FC 1403 (</w:t>
      </w:r>
      <w:proofErr w:type="spellStart"/>
      <w:r w:rsidR="00771683" w:rsidRPr="00771683">
        <w:rPr>
          <w:color w:val="027ABB"/>
          <w:sz w:val="24"/>
          <w:szCs w:val="24"/>
          <w:lang/>
        </w:rPr>
        <w:t>CanLII</w:t>
      </w:r>
      <w:proofErr w:type="spellEnd"/>
      <w:r w:rsidR="00771683" w:rsidRPr="00771683">
        <w:rPr>
          <w:color w:val="027ABB"/>
          <w:sz w:val="24"/>
          <w:szCs w:val="24"/>
          <w:lang/>
        </w:rPr>
        <w:t>)</w:t>
      </w:r>
      <w:r w:rsidR="00771683" w:rsidRPr="00771683">
        <w:rPr>
          <w:sz w:val="24"/>
          <w:szCs w:val="24"/>
          <w:lang/>
        </w:rPr>
        <w:fldChar w:fldCharType="end"/>
      </w:r>
      <w:bookmarkEnd w:id="6"/>
      <w:r w:rsidR="00771683" w:rsidRPr="00771683">
        <w:rPr>
          <w:sz w:val="24"/>
          <w:szCs w:val="24"/>
          <w:lang/>
        </w:rPr>
        <w:t>, 2003 FC 1403</w:t>
      </w:r>
    </w:p>
    <w:p w:rsidR="00771683" w:rsidRPr="00EF5DE6" w:rsidRDefault="00804FFF" w:rsidP="00EF5DE6">
      <w:pPr>
        <w:spacing w:line="360" w:lineRule="auto"/>
        <w:rPr>
          <w:sz w:val="24"/>
        </w:rPr>
      </w:pPr>
      <w:r w:rsidRPr="00EF5DE6">
        <w:rPr>
          <w:sz w:val="24"/>
        </w:rPr>
        <w:t xml:space="preserve">The effect of subsection 69.3(1) of the Bankruptcy and Insolvency Act is to prevent independent action by any creditor against the debtor or his property, vested in the trustee. It has no effect on the right of the Minister under section 231.2 of the Act to obtain further information relevant to the tax debt of the Respondent. </w:t>
      </w:r>
      <w:r w:rsidR="00771683" w:rsidRPr="00EF5DE6">
        <w:rPr>
          <w:sz w:val="24"/>
        </w:rPr>
        <w:t xml:space="preserve">Once the information is obtained, </w:t>
      </w:r>
      <w:r w:rsidRPr="00EF5DE6">
        <w:rPr>
          <w:sz w:val="24"/>
        </w:rPr>
        <w:t xml:space="preserve">CRA </w:t>
      </w:r>
      <w:r w:rsidR="00771683" w:rsidRPr="00EF5DE6">
        <w:rPr>
          <w:sz w:val="24"/>
        </w:rPr>
        <w:t>may share the information with the trustee for the benefit of the other creditors in the bankruptcy.</w:t>
      </w:r>
    </w:p>
    <w:p w:rsidR="00804FFF" w:rsidRPr="00771683" w:rsidRDefault="00804FFF" w:rsidP="00771683">
      <w:pPr>
        <w:spacing w:before="100" w:beforeAutospacing="1" w:after="100" w:afterAutospacing="1"/>
        <w:rPr>
          <w:sz w:val="24"/>
          <w:szCs w:val="24"/>
          <w:lang/>
        </w:rPr>
      </w:pPr>
      <w:r w:rsidRPr="00771683">
        <w:rPr>
          <w:i/>
          <w:iCs/>
          <w:sz w:val="24"/>
          <w:szCs w:val="24"/>
          <w:lang/>
        </w:rPr>
        <w:t xml:space="preserve">Carrefour </w:t>
      </w:r>
      <w:proofErr w:type="spellStart"/>
      <w:r w:rsidRPr="00771683">
        <w:rPr>
          <w:i/>
          <w:iCs/>
          <w:sz w:val="24"/>
          <w:szCs w:val="24"/>
          <w:lang/>
        </w:rPr>
        <w:t>Langelier</w:t>
      </w:r>
      <w:proofErr w:type="spellEnd"/>
      <w:r w:rsidRPr="00771683">
        <w:rPr>
          <w:i/>
          <w:iCs/>
          <w:sz w:val="24"/>
          <w:szCs w:val="24"/>
          <w:lang/>
        </w:rPr>
        <w:t xml:space="preserve"> Inc. v. </w:t>
      </w:r>
      <w:smartTag w:uri="urn:schemas-microsoft-com:office:smarttags" w:element="country-region">
        <w:smartTag w:uri="urn:schemas-microsoft-com:office:smarttags" w:element="place">
          <w:r w:rsidRPr="00771683">
            <w:rPr>
              <w:i/>
              <w:iCs/>
              <w:sz w:val="24"/>
              <w:szCs w:val="24"/>
              <w:lang/>
            </w:rPr>
            <w:t>Canada</w:t>
          </w:r>
        </w:smartTag>
      </w:smartTag>
      <w:r w:rsidRPr="00771683">
        <w:rPr>
          <w:i/>
          <w:iCs/>
          <w:sz w:val="24"/>
          <w:szCs w:val="24"/>
          <w:lang/>
        </w:rPr>
        <w:t xml:space="preserve"> (Customs and Revenue Agency)</w:t>
      </w:r>
      <w:r w:rsidRPr="00771683">
        <w:rPr>
          <w:sz w:val="24"/>
          <w:szCs w:val="24"/>
          <w:lang/>
        </w:rPr>
        <w:t xml:space="preserve"> </w:t>
      </w:r>
      <w:hyperlink r:id="rId5" w:history="1">
        <w:r w:rsidRPr="00771683">
          <w:rPr>
            <w:color w:val="027ABB"/>
            <w:sz w:val="24"/>
            <w:szCs w:val="24"/>
            <w:lang/>
          </w:rPr>
          <w:t>2003 FC 1403 (</w:t>
        </w:r>
        <w:proofErr w:type="spellStart"/>
        <w:r w:rsidRPr="00771683">
          <w:rPr>
            <w:color w:val="027ABB"/>
            <w:sz w:val="24"/>
            <w:szCs w:val="24"/>
            <w:lang/>
          </w:rPr>
          <w:t>CanLII</w:t>
        </w:r>
        <w:proofErr w:type="spellEnd"/>
        <w:r w:rsidRPr="00771683">
          <w:rPr>
            <w:color w:val="027ABB"/>
            <w:sz w:val="24"/>
            <w:szCs w:val="24"/>
            <w:lang/>
          </w:rPr>
          <w:t>)</w:t>
        </w:r>
      </w:hyperlink>
      <w:r w:rsidRPr="00771683">
        <w:rPr>
          <w:sz w:val="24"/>
          <w:szCs w:val="24"/>
          <w:lang/>
        </w:rPr>
        <w:t>, 2003 FC 1403</w:t>
      </w:r>
    </w:p>
    <w:p w:rsidR="00804FFF" w:rsidRDefault="00152D10">
      <w:pPr>
        <w:spacing w:line="360" w:lineRule="auto"/>
        <w:rPr>
          <w:sz w:val="24"/>
        </w:rPr>
      </w:pPr>
      <w:r>
        <w:rPr>
          <w:sz w:val="24"/>
        </w:rPr>
        <w:t xml:space="preserve">The demands for documents may be very broad and </w:t>
      </w:r>
      <w:r w:rsidR="00EF5DE6">
        <w:rPr>
          <w:sz w:val="24"/>
        </w:rPr>
        <w:t>are</w:t>
      </w:r>
      <w:r>
        <w:rPr>
          <w:sz w:val="24"/>
        </w:rPr>
        <w:t xml:space="preserve"> not limited to source documents.  Documents demanded may properly include the trustee’s working papers and analyses</w:t>
      </w:r>
      <w:r w:rsidR="00804FFF">
        <w:rPr>
          <w:sz w:val="24"/>
        </w:rPr>
        <w:t>.</w:t>
      </w:r>
    </w:p>
    <w:p w:rsidR="00152D10" w:rsidRDefault="00152D10">
      <w:pPr>
        <w:spacing w:line="360" w:lineRule="auto"/>
        <w:rPr>
          <w:sz w:val="24"/>
        </w:rPr>
      </w:pPr>
      <w:r>
        <w:rPr>
          <w:sz w:val="24"/>
        </w:rPr>
        <w:t>Vancouver Board of Trade</w:t>
      </w:r>
      <w:r w:rsidR="00EF5DE6">
        <w:rPr>
          <w:sz w:val="24"/>
        </w:rPr>
        <w:t xml:space="preserve"> supra </w:t>
      </w:r>
    </w:p>
    <w:p w:rsidR="00EF5DE6" w:rsidRDefault="00EF5DE6">
      <w:pPr>
        <w:spacing w:line="360" w:lineRule="auto"/>
        <w:rPr>
          <w:sz w:val="24"/>
        </w:rPr>
      </w:pPr>
    </w:p>
    <w:p w:rsidR="00304165" w:rsidRDefault="00304165">
      <w:pPr>
        <w:spacing w:line="360" w:lineRule="auto"/>
        <w:rPr>
          <w:sz w:val="24"/>
        </w:rPr>
      </w:pPr>
      <w:r>
        <w:rPr>
          <w:sz w:val="24"/>
        </w:rPr>
        <w:t>The demand may require a third party to provide written answers to questions and may include documents that contain information about priv</w:t>
      </w:r>
      <w:r w:rsidR="00330B9D">
        <w:rPr>
          <w:sz w:val="24"/>
        </w:rPr>
        <w:t>ate transactions involving individuals not under investigation.</w:t>
      </w:r>
    </w:p>
    <w:p w:rsidR="00EF5DE6" w:rsidRDefault="00EF5DE6">
      <w:pPr>
        <w:spacing w:line="360" w:lineRule="auto"/>
        <w:rPr>
          <w:sz w:val="24"/>
        </w:rPr>
      </w:pPr>
    </w:p>
    <w:p w:rsidR="00304165" w:rsidRDefault="00304165">
      <w:pPr>
        <w:spacing w:line="360" w:lineRule="auto"/>
        <w:rPr>
          <w:sz w:val="24"/>
        </w:rPr>
      </w:pPr>
      <w:proofErr w:type="gramStart"/>
      <w:r>
        <w:rPr>
          <w:sz w:val="24"/>
        </w:rPr>
        <w:t>Tower v M.N.R.</w:t>
      </w:r>
      <w:proofErr w:type="gramEnd"/>
      <w:r>
        <w:rPr>
          <w:sz w:val="24"/>
        </w:rPr>
        <w:t xml:space="preserve">  </w:t>
      </w:r>
      <w:proofErr w:type="gramStart"/>
      <w:r>
        <w:rPr>
          <w:sz w:val="24"/>
        </w:rPr>
        <w:t>2003 FCA 307 (F.C.A.)</w:t>
      </w:r>
      <w:proofErr w:type="gramEnd"/>
    </w:p>
    <w:p w:rsidR="00EF5DE6" w:rsidRDefault="00EF5DE6">
      <w:pPr>
        <w:spacing w:line="360" w:lineRule="auto"/>
        <w:rPr>
          <w:sz w:val="24"/>
        </w:rPr>
      </w:pPr>
    </w:p>
    <w:p w:rsidR="00DA3719" w:rsidRDefault="00152D10">
      <w:pPr>
        <w:spacing w:line="360" w:lineRule="auto"/>
        <w:rPr>
          <w:sz w:val="24"/>
        </w:rPr>
      </w:pPr>
      <w:r>
        <w:rPr>
          <w:sz w:val="24"/>
        </w:rPr>
        <w:t xml:space="preserve"> </w:t>
      </w:r>
      <w:r w:rsidR="0092656E">
        <w:rPr>
          <w:sz w:val="24"/>
        </w:rPr>
        <w:t>In some case</w:t>
      </w:r>
      <w:r w:rsidR="00330B9D">
        <w:rPr>
          <w:sz w:val="24"/>
        </w:rPr>
        <w:t>s</w:t>
      </w:r>
      <w:r w:rsidR="0092656E">
        <w:rPr>
          <w:sz w:val="24"/>
        </w:rPr>
        <w:t xml:space="preserve"> C</w:t>
      </w:r>
      <w:r w:rsidR="00804FFF">
        <w:rPr>
          <w:sz w:val="24"/>
        </w:rPr>
        <w:t xml:space="preserve">RA </w:t>
      </w:r>
      <w:r w:rsidR="0092656E">
        <w:rPr>
          <w:sz w:val="24"/>
        </w:rPr>
        <w:t>will make extensive demands from the bankrupt’s accountant</w:t>
      </w:r>
      <w:r w:rsidR="00EF5DE6">
        <w:rPr>
          <w:sz w:val="24"/>
        </w:rPr>
        <w:t xml:space="preserve">. </w:t>
      </w:r>
      <w:r w:rsidR="0092656E">
        <w:rPr>
          <w:sz w:val="24"/>
        </w:rPr>
        <w:t xml:space="preserve"> </w:t>
      </w:r>
      <w:r w:rsidR="00330B9D">
        <w:rPr>
          <w:sz w:val="24"/>
        </w:rPr>
        <w:t>There is no right to privilege for tax advice from an accountant</w:t>
      </w:r>
      <w:r w:rsidR="00DA3719">
        <w:rPr>
          <w:sz w:val="24"/>
        </w:rPr>
        <w:t xml:space="preserve"> so all information and documents must be produced.</w:t>
      </w:r>
    </w:p>
    <w:p w:rsidR="00DA3719" w:rsidRDefault="00DA3719">
      <w:pPr>
        <w:spacing w:line="360" w:lineRule="auto"/>
        <w:rPr>
          <w:sz w:val="24"/>
        </w:rPr>
      </w:pPr>
      <w:r>
        <w:rPr>
          <w:sz w:val="24"/>
        </w:rPr>
        <w:t>Tower supra</w:t>
      </w:r>
    </w:p>
    <w:p w:rsidR="00EF5DE6" w:rsidRDefault="00330B9D">
      <w:pPr>
        <w:spacing w:line="360" w:lineRule="auto"/>
        <w:rPr>
          <w:sz w:val="24"/>
        </w:rPr>
      </w:pPr>
      <w:r>
        <w:rPr>
          <w:sz w:val="24"/>
        </w:rPr>
        <w:lastRenderedPageBreak/>
        <w:t xml:space="preserve"> </w:t>
      </w:r>
    </w:p>
    <w:p w:rsidR="008C5BFE" w:rsidRDefault="008C5BFE">
      <w:pPr>
        <w:spacing w:line="360" w:lineRule="auto"/>
        <w:rPr>
          <w:b/>
          <w:sz w:val="24"/>
        </w:rPr>
      </w:pPr>
      <w:r>
        <w:rPr>
          <w:b/>
          <w:sz w:val="24"/>
        </w:rPr>
        <w:t>Limitation period</w:t>
      </w:r>
    </w:p>
    <w:p w:rsidR="00EF5DE6" w:rsidRDefault="00EF5DE6">
      <w:pPr>
        <w:spacing w:line="360" w:lineRule="auto"/>
        <w:rPr>
          <w:sz w:val="24"/>
        </w:rPr>
      </w:pPr>
    </w:p>
    <w:p w:rsidR="00804FFF" w:rsidRDefault="00432CD1">
      <w:pPr>
        <w:spacing w:line="360" w:lineRule="auto"/>
        <w:rPr>
          <w:sz w:val="24"/>
        </w:rPr>
      </w:pPr>
      <w:r>
        <w:rPr>
          <w:sz w:val="24"/>
        </w:rPr>
        <w:t>In</w:t>
      </w:r>
      <w:r w:rsidR="00924F74" w:rsidRPr="00432CD1">
        <w:rPr>
          <w:i/>
          <w:sz w:val="24"/>
        </w:rPr>
        <w:t xml:space="preserve"> </w:t>
      </w:r>
      <w:proofErr w:type="spellStart"/>
      <w:r w:rsidR="00924F74" w:rsidRPr="00432CD1">
        <w:rPr>
          <w:i/>
          <w:sz w:val="24"/>
        </w:rPr>
        <w:t>Markevich</w:t>
      </w:r>
      <w:proofErr w:type="spellEnd"/>
      <w:r w:rsidR="00924F74" w:rsidRPr="00432CD1">
        <w:rPr>
          <w:i/>
          <w:sz w:val="24"/>
        </w:rPr>
        <w:t xml:space="preserve"> v. Canada</w:t>
      </w:r>
      <w:r w:rsidR="00924F74" w:rsidRPr="00924F74">
        <w:rPr>
          <w:sz w:val="24"/>
        </w:rPr>
        <w:t xml:space="preserve">, </w:t>
      </w:r>
      <w:bookmarkStart w:id="7" w:name="reflex-caselaw-32847078"/>
      <w:r w:rsidR="00924F74" w:rsidRPr="00924F74">
        <w:rPr>
          <w:sz w:val="24"/>
        </w:rPr>
        <w:fldChar w:fldCharType="begin"/>
      </w:r>
      <w:r w:rsidR="00924F74" w:rsidRPr="00924F74">
        <w:rPr>
          <w:sz w:val="24"/>
        </w:rPr>
        <w:instrText xml:space="preserve"> HYPERLINK "http://www.canlii.org/en/ca/scc/doc/2003/2003scc9/2003scc9.html" </w:instrText>
      </w:r>
      <w:r w:rsidR="00924F74" w:rsidRPr="00924F74">
        <w:rPr>
          <w:sz w:val="24"/>
        </w:rPr>
        <w:fldChar w:fldCharType="separate"/>
      </w:r>
      <w:r w:rsidR="00924F74" w:rsidRPr="00924F74">
        <w:rPr>
          <w:sz w:val="24"/>
        </w:rPr>
        <w:t>2003 SCC 9 (</w:t>
      </w:r>
      <w:proofErr w:type="spellStart"/>
      <w:r w:rsidR="00924F74" w:rsidRPr="00924F74">
        <w:rPr>
          <w:sz w:val="24"/>
        </w:rPr>
        <w:t>CanLII</w:t>
      </w:r>
      <w:proofErr w:type="spellEnd"/>
      <w:r w:rsidR="00924F74" w:rsidRPr="00924F74">
        <w:rPr>
          <w:sz w:val="24"/>
        </w:rPr>
        <w:t>)</w:t>
      </w:r>
      <w:r w:rsidR="00924F74" w:rsidRPr="00924F74">
        <w:rPr>
          <w:sz w:val="24"/>
        </w:rPr>
        <w:fldChar w:fldCharType="end"/>
      </w:r>
      <w:bookmarkEnd w:id="7"/>
      <w:r w:rsidR="00924F74" w:rsidRPr="00924F74">
        <w:rPr>
          <w:sz w:val="24"/>
        </w:rPr>
        <w:t xml:space="preserve">, [2003] 1 S.C.R. 94, the Supreme Court of Canada held that a six-year limitation period applied to collection proceedings under </w:t>
      </w:r>
      <w:r>
        <w:rPr>
          <w:sz w:val="24"/>
        </w:rPr>
        <w:t>the</w:t>
      </w:r>
      <w:r w:rsidR="00924F74" w:rsidRPr="00432CD1">
        <w:rPr>
          <w:i/>
          <w:sz w:val="24"/>
        </w:rPr>
        <w:t xml:space="preserve"> Income Tax</w:t>
      </w:r>
      <w:r w:rsidR="00924F74">
        <w:rPr>
          <w:i/>
          <w:iCs/>
          <w:lang/>
        </w:rPr>
        <w:t xml:space="preserve"> </w:t>
      </w:r>
      <w:r w:rsidR="00924F74" w:rsidRPr="00432CD1">
        <w:rPr>
          <w:i/>
          <w:sz w:val="24"/>
        </w:rPr>
        <w:t>Ac</w:t>
      </w:r>
      <w:r>
        <w:rPr>
          <w:i/>
          <w:sz w:val="24"/>
        </w:rPr>
        <w:t>t.</w:t>
      </w:r>
      <w:r w:rsidR="00804FFF">
        <w:rPr>
          <w:i/>
          <w:sz w:val="24"/>
        </w:rPr>
        <w:t xml:space="preserve">  </w:t>
      </w:r>
      <w:r w:rsidR="008C5BFE">
        <w:rPr>
          <w:sz w:val="24"/>
        </w:rPr>
        <w:t xml:space="preserve"> </w:t>
      </w:r>
      <w:r w:rsidR="00B17FD1">
        <w:rPr>
          <w:sz w:val="24"/>
        </w:rPr>
        <w:t xml:space="preserve">That decision was “overruled”’ when parliament amended </w:t>
      </w:r>
      <w:r>
        <w:rPr>
          <w:sz w:val="24"/>
        </w:rPr>
        <w:t xml:space="preserve">section 222 of </w:t>
      </w:r>
      <w:r w:rsidR="008C5BFE">
        <w:rPr>
          <w:sz w:val="24"/>
        </w:rPr>
        <w:t>the</w:t>
      </w:r>
      <w:r w:rsidR="008C5BFE">
        <w:rPr>
          <w:i/>
          <w:sz w:val="24"/>
        </w:rPr>
        <w:t xml:space="preserve"> Income Tax Act</w:t>
      </w:r>
      <w:r w:rsidR="008C5BFE">
        <w:rPr>
          <w:sz w:val="24"/>
        </w:rPr>
        <w:t xml:space="preserve"> to provide for a 10 year limitation</w:t>
      </w:r>
      <w:r w:rsidR="00804FFF">
        <w:rPr>
          <w:sz w:val="24"/>
        </w:rPr>
        <w:t xml:space="preserve"> period</w:t>
      </w:r>
      <w:r w:rsidR="008C5BFE">
        <w:rPr>
          <w:sz w:val="24"/>
        </w:rPr>
        <w:t>.</w:t>
      </w:r>
    </w:p>
    <w:p w:rsidR="00432CD1" w:rsidRPr="00C51054" w:rsidRDefault="00C51054">
      <w:pPr>
        <w:spacing w:line="360" w:lineRule="auto"/>
        <w:rPr>
          <w:sz w:val="24"/>
        </w:rPr>
      </w:pPr>
      <w:r>
        <w:rPr>
          <w:i/>
          <w:sz w:val="24"/>
        </w:rPr>
        <w:t xml:space="preserve">Collins v </w:t>
      </w:r>
      <w:proofErr w:type="spellStart"/>
      <w:r>
        <w:rPr>
          <w:i/>
          <w:sz w:val="24"/>
        </w:rPr>
        <w:t>Canda</w:t>
      </w:r>
      <w:proofErr w:type="spellEnd"/>
      <w:r>
        <w:rPr>
          <w:i/>
          <w:sz w:val="24"/>
        </w:rPr>
        <w:t xml:space="preserve"> </w:t>
      </w:r>
      <w:r>
        <w:rPr>
          <w:sz w:val="24"/>
        </w:rPr>
        <w:t>2005 FCA 1431</w:t>
      </w:r>
    </w:p>
    <w:p w:rsidR="00865419" w:rsidRDefault="00804FFF">
      <w:pPr>
        <w:spacing w:line="360" w:lineRule="auto"/>
        <w:rPr>
          <w:sz w:val="24"/>
        </w:rPr>
      </w:pPr>
      <w:r>
        <w:rPr>
          <w:sz w:val="24"/>
        </w:rPr>
        <w:t>Th</w:t>
      </w:r>
      <w:r w:rsidR="00432CD1" w:rsidRPr="00432CD1">
        <w:rPr>
          <w:sz w:val="24"/>
        </w:rPr>
        <w:t xml:space="preserve">e amendment applies to any judgment made after March 3, 2004 that declares a tax debt not to be payable by a taxpayer because a limitation period ended before Royal Assent was given. Subsection (10) goes even further in deeming such tax debt to have become payable on March 4, 2004. </w:t>
      </w:r>
    </w:p>
    <w:p w:rsidR="00432CD1" w:rsidRPr="00432CD1" w:rsidRDefault="00432CD1">
      <w:pPr>
        <w:spacing w:line="360" w:lineRule="auto"/>
        <w:rPr>
          <w:sz w:val="24"/>
        </w:rPr>
      </w:pPr>
      <w:r>
        <w:rPr>
          <w:i/>
          <w:sz w:val="24"/>
        </w:rPr>
        <w:t>Canada v Gibson</w:t>
      </w:r>
      <w:r>
        <w:rPr>
          <w:sz w:val="24"/>
        </w:rPr>
        <w:t xml:space="preserve"> 2005 FCA 180</w:t>
      </w:r>
    </w:p>
    <w:p w:rsidR="008C5BFE" w:rsidRPr="00924F74" w:rsidRDefault="008C5BFE">
      <w:pPr>
        <w:spacing w:line="360" w:lineRule="auto"/>
        <w:rPr>
          <w:i/>
          <w:sz w:val="24"/>
        </w:rPr>
      </w:pPr>
      <w:r>
        <w:rPr>
          <w:sz w:val="24"/>
        </w:rPr>
        <w:t>Th</w:t>
      </w:r>
      <w:r w:rsidR="00865419">
        <w:rPr>
          <w:sz w:val="24"/>
        </w:rPr>
        <w:t>e</w:t>
      </w:r>
      <w:r>
        <w:rPr>
          <w:sz w:val="24"/>
        </w:rPr>
        <w:t xml:space="preserve"> limitation is </w:t>
      </w:r>
      <w:r w:rsidR="00924F74">
        <w:rPr>
          <w:sz w:val="24"/>
        </w:rPr>
        <w:t xml:space="preserve">extended if </w:t>
      </w:r>
      <w:r w:rsidR="0088122D">
        <w:rPr>
          <w:sz w:val="24"/>
        </w:rPr>
        <w:t xml:space="preserve">CRA </w:t>
      </w:r>
      <w:r w:rsidR="00924F74">
        <w:rPr>
          <w:sz w:val="24"/>
        </w:rPr>
        <w:t xml:space="preserve">is not permitted or restricted from taking action as a result of the </w:t>
      </w:r>
      <w:r w:rsidR="00967967">
        <w:rPr>
          <w:i/>
          <w:sz w:val="24"/>
        </w:rPr>
        <w:t>Bankruptcy and Insolvency Act</w:t>
      </w:r>
      <w:r w:rsidR="00924F74">
        <w:rPr>
          <w:i/>
          <w:sz w:val="24"/>
        </w:rPr>
        <w:t xml:space="preserve">, Companies’ Creditors Arrangement Act </w:t>
      </w:r>
      <w:r w:rsidR="00924F74">
        <w:rPr>
          <w:sz w:val="24"/>
        </w:rPr>
        <w:t xml:space="preserve">or </w:t>
      </w:r>
      <w:r w:rsidR="00924F74">
        <w:rPr>
          <w:i/>
          <w:sz w:val="24"/>
        </w:rPr>
        <w:t xml:space="preserve">Farm Debt Mediation Act. </w:t>
      </w:r>
    </w:p>
    <w:p w:rsidR="0092656E" w:rsidRDefault="0092656E">
      <w:pPr>
        <w:spacing w:line="360" w:lineRule="auto"/>
        <w:rPr>
          <w:sz w:val="24"/>
        </w:rPr>
      </w:pPr>
    </w:p>
    <w:p w:rsidR="0092656E" w:rsidRDefault="0092656E">
      <w:pPr>
        <w:pStyle w:val="Heading1"/>
      </w:pPr>
      <w:r>
        <w:t>PROPOSALS</w:t>
      </w:r>
    </w:p>
    <w:p w:rsidR="00865419" w:rsidRPr="00865419" w:rsidRDefault="0092656E" w:rsidP="00865419">
      <w:pPr>
        <w:spacing w:line="360" w:lineRule="auto"/>
        <w:rPr>
          <w:sz w:val="24"/>
        </w:rPr>
      </w:pPr>
      <w:r>
        <w:rPr>
          <w:sz w:val="24"/>
        </w:rPr>
        <w:t xml:space="preserve">There are certain required terms concerning </w:t>
      </w:r>
      <w:r w:rsidR="00865419">
        <w:rPr>
          <w:sz w:val="24"/>
        </w:rPr>
        <w:t>tax debts tha</w:t>
      </w:r>
      <w:r>
        <w:rPr>
          <w:sz w:val="24"/>
        </w:rPr>
        <w:t>t must be included in a proposal or it will not be approved by the court.</w:t>
      </w:r>
      <w:r w:rsidR="0088122D">
        <w:rPr>
          <w:sz w:val="24"/>
        </w:rPr>
        <w:t xml:space="preserve">  </w:t>
      </w:r>
      <w:r w:rsidR="00A84C6E" w:rsidRPr="00865419">
        <w:rPr>
          <w:sz w:val="24"/>
        </w:rPr>
        <w:t xml:space="preserve">Under s. 60(1.1), absent the Crown’s consent, the court </w:t>
      </w:r>
      <w:r w:rsidR="003B0197">
        <w:rPr>
          <w:sz w:val="24"/>
        </w:rPr>
        <w:t xml:space="preserve">may </w:t>
      </w:r>
      <w:r w:rsidR="00A84C6E" w:rsidRPr="00865419">
        <w:rPr>
          <w:sz w:val="24"/>
        </w:rPr>
        <w:t>only approve a proposal which pays the Crown in full any amounts owing which “are of a kind that could be subject to a demand under subsection 224(1.2) of the Income Tax Act”</w:t>
      </w:r>
      <w:r w:rsidR="00865419">
        <w:rPr>
          <w:sz w:val="24"/>
        </w:rPr>
        <w:t xml:space="preserve"> within 6 months</w:t>
      </w:r>
      <w:r w:rsidR="003B0197">
        <w:rPr>
          <w:sz w:val="24"/>
        </w:rPr>
        <w:t xml:space="preserve"> of court approval</w:t>
      </w:r>
      <w:r w:rsidR="00A84C6E" w:rsidRPr="00865419">
        <w:rPr>
          <w:sz w:val="24"/>
        </w:rPr>
        <w:t xml:space="preserve">.  </w:t>
      </w:r>
    </w:p>
    <w:p w:rsidR="00865419" w:rsidRDefault="00865419" w:rsidP="00865419">
      <w:pPr>
        <w:spacing w:line="360" w:lineRule="auto"/>
        <w:rPr>
          <w:sz w:val="24"/>
        </w:rPr>
      </w:pPr>
    </w:p>
    <w:p w:rsidR="00A84C6E" w:rsidRPr="00865419" w:rsidRDefault="00865419" w:rsidP="00865419">
      <w:pPr>
        <w:spacing w:line="360" w:lineRule="auto"/>
        <w:rPr>
          <w:sz w:val="24"/>
        </w:rPr>
      </w:pPr>
      <w:r w:rsidRPr="00967967">
        <w:rPr>
          <w:sz w:val="24"/>
        </w:rPr>
        <w:t xml:space="preserve">Section 224(1.2) provides a super-priority garnishing power for source deductions under the </w:t>
      </w:r>
      <w:r w:rsidRPr="00865419">
        <w:rPr>
          <w:i/>
          <w:sz w:val="24"/>
        </w:rPr>
        <w:t>Income Tax Act</w:t>
      </w:r>
      <w:r>
        <w:rPr>
          <w:i/>
          <w:sz w:val="24"/>
        </w:rPr>
        <w:t>,</w:t>
      </w:r>
      <w:r>
        <w:rPr>
          <w:sz w:val="24"/>
        </w:rPr>
        <w:t xml:space="preserve"> </w:t>
      </w:r>
      <w:r w:rsidRPr="00865419">
        <w:rPr>
          <w:i/>
          <w:sz w:val="24"/>
        </w:rPr>
        <w:t>Canada Pension Plan</w:t>
      </w:r>
      <w:r>
        <w:rPr>
          <w:sz w:val="24"/>
        </w:rPr>
        <w:t>,</w:t>
      </w:r>
      <w:r w:rsidRPr="00967967">
        <w:rPr>
          <w:sz w:val="24"/>
        </w:rPr>
        <w:t xml:space="preserve"> and </w:t>
      </w:r>
      <w:r w:rsidRPr="00865419">
        <w:rPr>
          <w:i/>
          <w:sz w:val="24"/>
        </w:rPr>
        <w:t>Employment Insurance Act</w:t>
      </w:r>
      <w:r w:rsidRPr="00967967">
        <w:rPr>
          <w:sz w:val="24"/>
        </w:rPr>
        <w:t xml:space="preserve">.  </w:t>
      </w:r>
      <w:r w:rsidRPr="00865419">
        <w:rPr>
          <w:sz w:val="24"/>
        </w:rPr>
        <w:t xml:space="preserve">The effect of the section is stayed by a bankruptcy filing due to s. 69.1 of the Bankruptcy and Insolvency Act. </w:t>
      </w:r>
      <w:r w:rsidR="003B0197">
        <w:rPr>
          <w:sz w:val="24"/>
        </w:rPr>
        <w:t>Section</w:t>
      </w:r>
      <w:r w:rsidRPr="00865419">
        <w:rPr>
          <w:sz w:val="24"/>
        </w:rPr>
        <w:t xml:space="preserve"> 60(1.1) </w:t>
      </w:r>
      <w:r w:rsidR="003B0197">
        <w:rPr>
          <w:sz w:val="24"/>
        </w:rPr>
        <w:t xml:space="preserve">of the </w:t>
      </w:r>
      <w:r w:rsidR="003B0197">
        <w:rPr>
          <w:i/>
          <w:sz w:val="24"/>
        </w:rPr>
        <w:t xml:space="preserve">Bankruptcy and Insolvency Act </w:t>
      </w:r>
      <w:r w:rsidRPr="00865419">
        <w:rPr>
          <w:sz w:val="24"/>
        </w:rPr>
        <w:t>was enacted to protect the Crown’s interests during the stay of its garnishing powers.</w:t>
      </w:r>
    </w:p>
    <w:p w:rsidR="00A84C6E" w:rsidRPr="00967967" w:rsidRDefault="0092656E" w:rsidP="00A84C6E">
      <w:pPr>
        <w:rPr>
          <w:sz w:val="24"/>
        </w:rPr>
      </w:pPr>
      <w:proofErr w:type="gramStart"/>
      <w:r w:rsidRPr="00967967">
        <w:rPr>
          <w:sz w:val="24"/>
        </w:rPr>
        <w:t xml:space="preserve">Re  </w:t>
      </w:r>
      <w:proofErr w:type="spellStart"/>
      <w:r w:rsidRPr="00967967">
        <w:rPr>
          <w:sz w:val="24"/>
        </w:rPr>
        <w:t>Dav</w:t>
      </w:r>
      <w:proofErr w:type="gramEnd"/>
      <w:r w:rsidRPr="00967967">
        <w:rPr>
          <w:sz w:val="24"/>
        </w:rPr>
        <w:t>-Jor</w:t>
      </w:r>
      <w:proofErr w:type="spellEnd"/>
      <w:r>
        <w:rPr>
          <w:sz w:val="24"/>
        </w:rPr>
        <w:t xml:space="preserve"> </w:t>
      </w:r>
      <w:r w:rsidR="00A84C6E" w:rsidRPr="00967967">
        <w:rPr>
          <w:sz w:val="24"/>
        </w:rPr>
        <w:t>2006 BCCA 330</w:t>
      </w:r>
    </w:p>
    <w:p w:rsidR="00A84C6E" w:rsidRDefault="00A84C6E">
      <w:pPr>
        <w:spacing w:line="360" w:lineRule="auto"/>
        <w:rPr>
          <w:sz w:val="24"/>
        </w:rPr>
      </w:pPr>
    </w:p>
    <w:p w:rsidR="00A84C6E" w:rsidRDefault="00A84C6E">
      <w:pPr>
        <w:spacing w:line="360" w:lineRule="auto"/>
        <w:rPr>
          <w:sz w:val="24"/>
        </w:rPr>
      </w:pPr>
    </w:p>
    <w:p w:rsidR="00BB4B41" w:rsidRPr="00BB4B41" w:rsidRDefault="0088122D">
      <w:pPr>
        <w:spacing w:line="360" w:lineRule="auto"/>
        <w:rPr>
          <w:sz w:val="24"/>
        </w:rPr>
      </w:pPr>
      <w:r>
        <w:rPr>
          <w:sz w:val="24"/>
        </w:rPr>
        <w:t>T</w:t>
      </w:r>
      <w:r w:rsidR="00BB4B41" w:rsidRPr="00BB4B41">
        <w:rPr>
          <w:sz w:val="24"/>
        </w:rPr>
        <w:t xml:space="preserve">he court will not approve a proposal that contains a clause that </w:t>
      </w:r>
      <w:r w:rsidR="003B0197">
        <w:rPr>
          <w:sz w:val="24"/>
        </w:rPr>
        <w:t>purports to discharge a</w:t>
      </w:r>
      <w:r w:rsidR="00BB4B41" w:rsidRPr="00BB4B41">
        <w:rPr>
          <w:sz w:val="24"/>
        </w:rPr>
        <w:t>ll federal and provincial tax liabilities that might arise as a result of the forgiveness of debt in the proposal and its completion.</w:t>
      </w:r>
    </w:p>
    <w:p w:rsidR="00967967" w:rsidRDefault="00967967" w:rsidP="00BB4B41">
      <w:pPr>
        <w:pStyle w:val="NormalWeb"/>
        <w:rPr>
          <w:rFonts w:ascii="Courier New" w:hAnsi="Courier New" w:cs="Courier New"/>
          <w:sz w:val="20"/>
          <w:szCs w:val="20"/>
        </w:rPr>
      </w:pPr>
      <w:r w:rsidRPr="00967967">
        <w:rPr>
          <w:rFonts w:ascii="Courier New" w:hAnsi="Courier New" w:cs="Courier New"/>
          <w:i/>
          <w:sz w:val="20"/>
          <w:szCs w:val="20"/>
        </w:rPr>
        <w:t>H.M.T.Q. v Beach</w:t>
      </w:r>
      <w:r>
        <w:rPr>
          <w:rFonts w:ascii="Courier New" w:hAnsi="Courier New" w:cs="Courier New"/>
          <w:sz w:val="20"/>
          <w:szCs w:val="20"/>
        </w:rPr>
        <w:t xml:space="preserve"> 2001 BCCA 7</w:t>
      </w:r>
    </w:p>
    <w:p w:rsidR="0092656E" w:rsidRDefault="0092656E">
      <w:pPr>
        <w:spacing w:line="360" w:lineRule="auto"/>
        <w:rPr>
          <w:sz w:val="24"/>
        </w:rPr>
      </w:pPr>
      <w:bookmarkStart w:id="8" w:name="styleofcause3"/>
      <w:bookmarkEnd w:id="8"/>
      <w:r>
        <w:rPr>
          <w:sz w:val="24"/>
        </w:rPr>
        <w:t>C</w:t>
      </w:r>
      <w:r w:rsidR="003B0197">
        <w:rPr>
          <w:sz w:val="24"/>
        </w:rPr>
        <w:t xml:space="preserve">RA </w:t>
      </w:r>
      <w:r>
        <w:rPr>
          <w:sz w:val="24"/>
        </w:rPr>
        <w:t xml:space="preserve">will frequently require a clause to be included in the proposal whereby the debtor covenants </w:t>
      </w:r>
      <w:r w:rsidR="001E5A29">
        <w:rPr>
          <w:sz w:val="24"/>
        </w:rPr>
        <w:t xml:space="preserve">to </w:t>
      </w:r>
      <w:r>
        <w:rPr>
          <w:sz w:val="24"/>
        </w:rPr>
        <w:t xml:space="preserve">keep all filings, remittances and installments to </w:t>
      </w:r>
      <w:r w:rsidR="001E5A29">
        <w:rPr>
          <w:sz w:val="24"/>
        </w:rPr>
        <w:t xml:space="preserve">CRA </w:t>
      </w:r>
      <w:r w:rsidR="003B0197">
        <w:rPr>
          <w:sz w:val="24"/>
        </w:rPr>
        <w:t>current during the term of the</w:t>
      </w:r>
      <w:r>
        <w:rPr>
          <w:sz w:val="24"/>
        </w:rPr>
        <w:t xml:space="preserve"> proposal</w:t>
      </w:r>
      <w:r w:rsidR="001E5A29">
        <w:rPr>
          <w:sz w:val="24"/>
        </w:rPr>
        <w:t>.</w:t>
      </w:r>
      <w:r>
        <w:rPr>
          <w:sz w:val="24"/>
        </w:rPr>
        <w:t xml:space="preserve">  These </w:t>
      </w:r>
      <w:r w:rsidR="00BB4B41">
        <w:rPr>
          <w:sz w:val="24"/>
        </w:rPr>
        <w:t xml:space="preserve">are proper </w:t>
      </w:r>
      <w:r>
        <w:rPr>
          <w:sz w:val="24"/>
        </w:rPr>
        <w:t xml:space="preserve">terms </w:t>
      </w:r>
      <w:r w:rsidR="00BB4B41">
        <w:rPr>
          <w:sz w:val="24"/>
        </w:rPr>
        <w:t xml:space="preserve">to </w:t>
      </w:r>
      <w:r>
        <w:rPr>
          <w:sz w:val="24"/>
        </w:rPr>
        <w:t xml:space="preserve">be included in a proposal.  </w:t>
      </w:r>
      <w:proofErr w:type="gramStart"/>
      <w:r>
        <w:rPr>
          <w:i/>
          <w:sz w:val="24"/>
        </w:rPr>
        <w:t xml:space="preserve">Re  </w:t>
      </w:r>
      <w:proofErr w:type="spellStart"/>
      <w:r>
        <w:rPr>
          <w:i/>
          <w:sz w:val="24"/>
        </w:rPr>
        <w:t>Silbernagel</w:t>
      </w:r>
      <w:proofErr w:type="spellEnd"/>
      <w:proofErr w:type="gramEnd"/>
      <w:r>
        <w:rPr>
          <w:sz w:val="24"/>
        </w:rPr>
        <w:t xml:space="preserve"> 2006 </w:t>
      </w:r>
      <w:proofErr w:type="spellStart"/>
      <w:smartTag w:uri="urn:schemas-microsoft-com:office:smarttags" w:element="place">
        <w:smartTag w:uri="urn:schemas-microsoft-com:office:smarttags" w:element="City">
          <w:r w:rsidR="00BB4B41">
            <w:rPr>
              <w:sz w:val="24"/>
            </w:rPr>
            <w:t>CanLII</w:t>
          </w:r>
        </w:smartTag>
        <w:proofErr w:type="spellEnd"/>
        <w:r>
          <w:rPr>
            <w:sz w:val="24"/>
          </w:rPr>
          <w:t xml:space="preserve"> </w:t>
        </w:r>
        <w:smartTag w:uri="urn:schemas-microsoft-com:office:smarttags" w:element="PostalCode">
          <w:r>
            <w:rPr>
              <w:sz w:val="24"/>
            </w:rPr>
            <w:t>13427</w:t>
          </w:r>
        </w:smartTag>
        <w:r>
          <w:rPr>
            <w:sz w:val="24"/>
          </w:rPr>
          <w:t xml:space="preserve">, </w:t>
        </w:r>
        <w:smartTag w:uri="urn:schemas-microsoft-com:office:smarttags" w:element="State">
          <w:r>
            <w:rPr>
              <w:sz w:val="24"/>
            </w:rPr>
            <w:t>Ontario</w:t>
          </w:r>
        </w:smartTag>
      </w:smartTag>
      <w:r>
        <w:rPr>
          <w:sz w:val="24"/>
        </w:rPr>
        <w:t xml:space="preserve"> Supreme Court.</w:t>
      </w:r>
    </w:p>
    <w:p w:rsidR="0092656E" w:rsidRDefault="0092656E">
      <w:pPr>
        <w:spacing w:line="360" w:lineRule="auto"/>
        <w:rPr>
          <w:sz w:val="24"/>
        </w:rPr>
      </w:pPr>
    </w:p>
    <w:p w:rsidR="0092656E" w:rsidRDefault="0092656E">
      <w:pPr>
        <w:spacing w:line="360" w:lineRule="auto"/>
        <w:rPr>
          <w:sz w:val="24"/>
        </w:rPr>
      </w:pPr>
      <w:r>
        <w:rPr>
          <w:b/>
          <w:sz w:val="24"/>
        </w:rPr>
        <w:t>DEEM</w:t>
      </w:r>
      <w:r w:rsidR="00E1174A">
        <w:rPr>
          <w:b/>
          <w:sz w:val="24"/>
        </w:rPr>
        <w:t>ED</w:t>
      </w:r>
      <w:r>
        <w:rPr>
          <w:b/>
          <w:sz w:val="24"/>
        </w:rPr>
        <w:t xml:space="preserve"> SECURITY PROVISIONS OF THE </w:t>
      </w:r>
      <w:r>
        <w:rPr>
          <w:b/>
          <w:i/>
          <w:sz w:val="24"/>
        </w:rPr>
        <w:t>INCOME TAX ACT</w:t>
      </w:r>
    </w:p>
    <w:p w:rsidR="0092656E" w:rsidRDefault="0092656E">
      <w:pPr>
        <w:spacing w:line="360" w:lineRule="auto"/>
        <w:rPr>
          <w:sz w:val="24"/>
        </w:rPr>
      </w:pPr>
    </w:p>
    <w:p w:rsidR="0092656E" w:rsidRDefault="0092656E">
      <w:pPr>
        <w:spacing w:line="360" w:lineRule="auto"/>
        <w:rPr>
          <w:sz w:val="24"/>
        </w:rPr>
      </w:pPr>
      <w:r>
        <w:rPr>
          <w:sz w:val="24"/>
        </w:rPr>
        <w:t>Under s.223 (5</w:t>
      </w:r>
      <w:proofErr w:type="gramStart"/>
      <w:r>
        <w:rPr>
          <w:sz w:val="24"/>
        </w:rPr>
        <w:t>)(</w:t>
      </w:r>
      <w:proofErr w:type="gramEnd"/>
      <w:r>
        <w:rPr>
          <w:sz w:val="24"/>
        </w:rPr>
        <w:t xml:space="preserve">b) </w:t>
      </w:r>
      <w:r w:rsidR="004D131A">
        <w:rPr>
          <w:sz w:val="24"/>
        </w:rPr>
        <w:t xml:space="preserve">of the </w:t>
      </w:r>
      <w:r w:rsidR="004D131A">
        <w:rPr>
          <w:i/>
          <w:sz w:val="24"/>
        </w:rPr>
        <w:t xml:space="preserve">Income Tax Act,  </w:t>
      </w:r>
      <w:r>
        <w:rPr>
          <w:sz w:val="24"/>
        </w:rPr>
        <w:t>C</w:t>
      </w:r>
      <w:r w:rsidR="0088122D">
        <w:rPr>
          <w:sz w:val="24"/>
        </w:rPr>
        <w:t>RA</w:t>
      </w:r>
      <w:r>
        <w:rPr>
          <w:sz w:val="24"/>
        </w:rPr>
        <w:t xml:space="preserve"> </w:t>
      </w:r>
      <w:r w:rsidR="004D131A">
        <w:rPr>
          <w:sz w:val="24"/>
        </w:rPr>
        <w:t>may</w:t>
      </w:r>
      <w:r>
        <w:rPr>
          <w:sz w:val="24"/>
        </w:rPr>
        <w:t xml:space="preserve"> register a certificate</w:t>
      </w:r>
      <w:r w:rsidR="001E5A29">
        <w:rPr>
          <w:sz w:val="24"/>
        </w:rPr>
        <w:t>,</w:t>
      </w:r>
      <w:r>
        <w:rPr>
          <w:sz w:val="24"/>
        </w:rPr>
        <w:t xml:space="preserve"> </w:t>
      </w:r>
      <w:r w:rsidR="004D131A">
        <w:rPr>
          <w:sz w:val="24"/>
        </w:rPr>
        <w:t>called a memorial</w:t>
      </w:r>
      <w:r w:rsidR="001E5A29">
        <w:rPr>
          <w:sz w:val="24"/>
        </w:rPr>
        <w:t>,</w:t>
      </w:r>
      <w:r w:rsidR="004D131A">
        <w:rPr>
          <w:sz w:val="24"/>
        </w:rPr>
        <w:t xml:space="preserve"> </w:t>
      </w:r>
      <w:r>
        <w:rPr>
          <w:sz w:val="24"/>
        </w:rPr>
        <w:t xml:space="preserve">against </w:t>
      </w:r>
      <w:r w:rsidR="004D131A">
        <w:rPr>
          <w:sz w:val="24"/>
        </w:rPr>
        <w:t xml:space="preserve">real or personal </w:t>
      </w:r>
      <w:r>
        <w:rPr>
          <w:sz w:val="24"/>
        </w:rPr>
        <w:t>property of the debtor</w:t>
      </w:r>
      <w:r w:rsidR="004D131A">
        <w:rPr>
          <w:sz w:val="24"/>
        </w:rPr>
        <w:t xml:space="preserve">.  The memorial </w:t>
      </w:r>
      <w:r>
        <w:rPr>
          <w:sz w:val="24"/>
        </w:rPr>
        <w:t>has the effect of a judgment</w:t>
      </w:r>
      <w:r w:rsidR="001E5A29">
        <w:rPr>
          <w:sz w:val="24"/>
        </w:rPr>
        <w:t>,</w:t>
      </w:r>
      <w:r>
        <w:rPr>
          <w:sz w:val="24"/>
        </w:rPr>
        <w:t xml:space="preserve"> but on </w:t>
      </w:r>
      <w:r w:rsidR="004D131A">
        <w:rPr>
          <w:sz w:val="24"/>
        </w:rPr>
        <w:t xml:space="preserve">the </w:t>
      </w:r>
      <w:r>
        <w:rPr>
          <w:sz w:val="24"/>
        </w:rPr>
        <w:t xml:space="preserve">bankruptcy </w:t>
      </w:r>
      <w:r w:rsidR="004D131A">
        <w:rPr>
          <w:sz w:val="24"/>
        </w:rPr>
        <w:t xml:space="preserve">of the tax debtor, </w:t>
      </w:r>
      <w:r>
        <w:rPr>
          <w:sz w:val="24"/>
        </w:rPr>
        <w:t xml:space="preserve">the </w:t>
      </w:r>
      <w:r w:rsidR="004D131A">
        <w:rPr>
          <w:sz w:val="24"/>
        </w:rPr>
        <w:t>m</w:t>
      </w:r>
      <w:r>
        <w:rPr>
          <w:sz w:val="24"/>
        </w:rPr>
        <w:t>emorial is deemed to be secured and ranks as a secured claim under s.</w:t>
      </w:r>
      <w:r w:rsidR="0088122D">
        <w:rPr>
          <w:sz w:val="24"/>
        </w:rPr>
        <w:t xml:space="preserve"> </w:t>
      </w:r>
      <w:r>
        <w:rPr>
          <w:sz w:val="24"/>
        </w:rPr>
        <w:t>87</w:t>
      </w:r>
      <w:r w:rsidR="004D131A">
        <w:rPr>
          <w:sz w:val="24"/>
        </w:rPr>
        <w:t>(</w:t>
      </w:r>
      <w:r>
        <w:rPr>
          <w:sz w:val="24"/>
        </w:rPr>
        <w:t>1</w:t>
      </w:r>
      <w:r w:rsidR="004D131A">
        <w:rPr>
          <w:sz w:val="24"/>
        </w:rPr>
        <w:t>)</w:t>
      </w:r>
      <w:r>
        <w:rPr>
          <w:sz w:val="24"/>
        </w:rPr>
        <w:t xml:space="preserve"> of the </w:t>
      </w:r>
      <w:r w:rsidR="00967967">
        <w:rPr>
          <w:i/>
          <w:sz w:val="24"/>
        </w:rPr>
        <w:t>Bankruptcy and Insolvency Act</w:t>
      </w:r>
      <w:r>
        <w:rPr>
          <w:sz w:val="24"/>
        </w:rPr>
        <w:t xml:space="preserve">.  </w:t>
      </w:r>
      <w:r w:rsidR="004D131A">
        <w:rPr>
          <w:sz w:val="24"/>
        </w:rPr>
        <w:t>These provision</w:t>
      </w:r>
      <w:r w:rsidR="00967967">
        <w:rPr>
          <w:sz w:val="24"/>
        </w:rPr>
        <w:t>s</w:t>
      </w:r>
      <w:r w:rsidR="004D131A">
        <w:rPr>
          <w:sz w:val="24"/>
        </w:rPr>
        <w:t xml:space="preserve"> were enacted to ensure that </w:t>
      </w:r>
      <w:r>
        <w:rPr>
          <w:sz w:val="24"/>
        </w:rPr>
        <w:t xml:space="preserve">any security created under s.223 of the </w:t>
      </w:r>
      <w:r>
        <w:rPr>
          <w:i/>
          <w:sz w:val="24"/>
        </w:rPr>
        <w:t>Income Tax Act</w:t>
      </w:r>
      <w:r>
        <w:rPr>
          <w:sz w:val="24"/>
        </w:rPr>
        <w:t xml:space="preserve"> would survive a bankruptcy.</w:t>
      </w:r>
    </w:p>
    <w:p w:rsidR="001E5A29" w:rsidRDefault="001E5A29">
      <w:pPr>
        <w:pStyle w:val="BodyText2"/>
      </w:pPr>
    </w:p>
    <w:p w:rsidR="0092656E" w:rsidRDefault="0092656E">
      <w:pPr>
        <w:pStyle w:val="BodyText2"/>
      </w:pPr>
      <w:r>
        <w:t xml:space="preserve">Registration of </w:t>
      </w:r>
      <w:r w:rsidR="00967967">
        <w:t xml:space="preserve">a memorial </w:t>
      </w:r>
      <w:r>
        <w:t xml:space="preserve">in the personal property registry will create a security interest in the bankrupt’s RRSP.  </w:t>
      </w:r>
      <w:proofErr w:type="gramStart"/>
      <w:r>
        <w:rPr>
          <w:i/>
        </w:rPr>
        <w:t xml:space="preserve">Attorney General of </w:t>
      </w:r>
      <w:smartTag w:uri="urn:schemas-microsoft-com:office:smarttags" w:element="place">
        <w:smartTag w:uri="urn:schemas-microsoft-com:office:smarttags" w:element="country-region">
          <w:r>
            <w:rPr>
              <w:i/>
            </w:rPr>
            <w:t>Canada</w:t>
          </w:r>
        </w:smartTag>
      </w:smartTag>
      <w:r>
        <w:rPr>
          <w:i/>
        </w:rPr>
        <w:t xml:space="preserve"> v. Keith G. Collins Ltd.</w:t>
      </w:r>
      <w:proofErr w:type="gramEnd"/>
      <w:r>
        <w:t xml:space="preserve">  2008 </w:t>
      </w:r>
      <w:r w:rsidR="00C332F9">
        <w:t>M</w:t>
      </w:r>
      <w:r w:rsidR="008000C8">
        <w:t xml:space="preserve">B </w:t>
      </w:r>
      <w:r>
        <w:t xml:space="preserve">QB 64, </w:t>
      </w:r>
      <w:proofErr w:type="spellStart"/>
      <w:r>
        <w:t>Can</w:t>
      </w:r>
      <w:r w:rsidR="00BB4B41">
        <w:t>LII</w:t>
      </w:r>
      <w:proofErr w:type="spellEnd"/>
      <w:r w:rsidR="00BB4B41">
        <w:t xml:space="preserve"> affirmed Manitoba Court of Appeal</w:t>
      </w:r>
      <w:r w:rsidR="008000C8">
        <w:t xml:space="preserve"> 2008 MBCA 92(</w:t>
      </w:r>
      <w:proofErr w:type="spellStart"/>
      <w:r w:rsidR="008000C8">
        <w:t>CanLII</w:t>
      </w:r>
      <w:proofErr w:type="spellEnd"/>
      <w:r w:rsidR="008000C8">
        <w:t>)</w:t>
      </w:r>
      <w:r>
        <w:t>.</w:t>
      </w:r>
    </w:p>
    <w:p w:rsidR="0092656E" w:rsidRDefault="0092656E">
      <w:pPr>
        <w:pStyle w:val="BodyText2"/>
      </w:pPr>
    </w:p>
    <w:p w:rsidR="004D131A" w:rsidRDefault="001E5A29">
      <w:pPr>
        <w:pStyle w:val="BodyText2"/>
      </w:pPr>
      <w:r>
        <w:t xml:space="preserve">When CRA </w:t>
      </w:r>
      <w:r w:rsidR="0092656E">
        <w:t>file</w:t>
      </w:r>
      <w:r>
        <w:t>d</w:t>
      </w:r>
      <w:r w:rsidR="0092656E">
        <w:t xml:space="preserve"> as an unsecured creditor</w:t>
      </w:r>
      <w:r w:rsidR="004D131A">
        <w:t>,</w:t>
      </w:r>
      <w:r w:rsidR="0092656E">
        <w:t xml:space="preserve"> a proposal containing a term that </w:t>
      </w:r>
      <w:r>
        <w:t xml:space="preserve">CRA would </w:t>
      </w:r>
      <w:r w:rsidR="0092656E">
        <w:t xml:space="preserve">take no action to enforce </w:t>
      </w:r>
      <w:r w:rsidR="004D131A">
        <w:t xml:space="preserve">its </w:t>
      </w:r>
      <w:r w:rsidR="0092656E">
        <w:t xml:space="preserve">security interest arising from </w:t>
      </w:r>
      <w:r w:rsidR="004D131A">
        <w:t xml:space="preserve">a memorial registered against </w:t>
      </w:r>
      <w:r w:rsidR="0092656E">
        <w:t xml:space="preserve">the debtor’s property under the </w:t>
      </w:r>
      <w:r w:rsidR="0092656E">
        <w:rPr>
          <w:i/>
        </w:rPr>
        <w:t>Income Tax Act</w:t>
      </w:r>
      <w:r w:rsidR="0092656E">
        <w:t xml:space="preserve"> and that it would discharge its charge upon issuance of a Certificate of Full Performance of the proposal </w:t>
      </w:r>
      <w:r>
        <w:t>wa</w:t>
      </w:r>
      <w:r w:rsidR="0092656E">
        <w:t>s effective</w:t>
      </w:r>
      <w:r>
        <w:t>,</w:t>
      </w:r>
      <w:r w:rsidR="0092656E">
        <w:t xml:space="preserve"> even though </w:t>
      </w:r>
      <w:r>
        <w:t xml:space="preserve">CRA </w:t>
      </w:r>
      <w:r w:rsidR="0092656E">
        <w:t>voted against the proposal.</w:t>
      </w:r>
    </w:p>
    <w:p w:rsidR="0092656E" w:rsidRDefault="0092656E">
      <w:pPr>
        <w:pStyle w:val="BodyText2"/>
      </w:pPr>
      <w:r>
        <w:t xml:space="preserve"> </w:t>
      </w:r>
      <w:proofErr w:type="gramStart"/>
      <w:r>
        <w:rPr>
          <w:i/>
        </w:rPr>
        <w:t>Re  Cox</w:t>
      </w:r>
      <w:proofErr w:type="gramEnd"/>
      <w:r>
        <w:t xml:space="preserve"> 2007 BCSC 1665.</w:t>
      </w:r>
    </w:p>
    <w:p w:rsidR="00C332F9" w:rsidRDefault="00C332F9">
      <w:pPr>
        <w:pStyle w:val="BodyText2"/>
      </w:pPr>
    </w:p>
    <w:p w:rsidR="0092656E" w:rsidRDefault="00A84C6E">
      <w:pPr>
        <w:pStyle w:val="BodyText2"/>
        <w:rPr>
          <w:b/>
        </w:rPr>
      </w:pPr>
      <w:r>
        <w:rPr>
          <w:b/>
        </w:rPr>
        <w:t>DISCHARGE APPLICATIONS</w:t>
      </w:r>
    </w:p>
    <w:p w:rsidR="00635932" w:rsidRDefault="00635932" w:rsidP="00635932">
      <w:pPr>
        <w:pStyle w:val="BodyText2"/>
      </w:pPr>
    </w:p>
    <w:p w:rsidR="00635932" w:rsidRPr="00F20A47" w:rsidRDefault="00635932" w:rsidP="00F20A47">
      <w:pPr>
        <w:pStyle w:val="BodyText2"/>
      </w:pPr>
      <w:r w:rsidRPr="00F20A47">
        <w:t xml:space="preserve">The primary objects of the Bankruptcy and Insolvency Act </w:t>
      </w:r>
      <w:r w:rsidR="00F20A47">
        <w:t xml:space="preserve">are </w:t>
      </w:r>
      <w:r w:rsidR="00F20A47" w:rsidRPr="00F20A47">
        <w:t xml:space="preserve">to equitably distribute the assets of the debtor and </w:t>
      </w:r>
      <w:r w:rsidR="00F20A47">
        <w:t>for the</w:t>
      </w:r>
      <w:r w:rsidR="00F20A47" w:rsidRPr="00F20A47">
        <w:t xml:space="preserve"> rehabilitation </w:t>
      </w:r>
      <w:r w:rsidR="00F20A47">
        <w:t xml:space="preserve">of the bankrupt, </w:t>
      </w:r>
      <w:r w:rsidR="00F20A47" w:rsidRPr="00F20A47">
        <w:t xml:space="preserve">unfettered by past debts. </w:t>
      </w:r>
      <w:r w:rsidR="00EF61CF">
        <w:t>At the time of the bankrupt’s discharge application the court will consider the bankrupt’s conduct both before and during the bankruptcy.</w:t>
      </w:r>
    </w:p>
    <w:p w:rsidR="00EF61CF" w:rsidRPr="00937113" w:rsidRDefault="00635932" w:rsidP="00EF61CF">
      <w:pPr>
        <w:pStyle w:val="BodyText2"/>
      </w:pPr>
      <w:r w:rsidRPr="00635932">
        <w:rPr>
          <w:rFonts w:eastAsia="Arial Unicode MS"/>
          <w:szCs w:val="24"/>
        </w:rPr>
        <w:t xml:space="preserve"> </w:t>
      </w:r>
      <w:r w:rsidR="00F20A47" w:rsidRPr="00F20A47">
        <w:rPr>
          <w:rFonts w:eastAsia="Arial Unicode MS"/>
          <w:i/>
          <w:szCs w:val="24"/>
        </w:rPr>
        <w:t xml:space="preserve">Industrial Acceptance Corporation v. </w:t>
      </w:r>
      <w:proofErr w:type="spellStart"/>
      <w:proofErr w:type="gramStart"/>
      <w:r w:rsidR="00F20A47" w:rsidRPr="00F20A47">
        <w:rPr>
          <w:rFonts w:eastAsia="Arial Unicode MS"/>
          <w:i/>
          <w:szCs w:val="24"/>
        </w:rPr>
        <w:t>Lalonde</w:t>
      </w:r>
      <w:proofErr w:type="spellEnd"/>
      <w:r w:rsidR="00F20A47" w:rsidRPr="00F20A47">
        <w:rPr>
          <w:rFonts w:eastAsia="Arial Unicode MS"/>
          <w:i/>
          <w:szCs w:val="24"/>
        </w:rPr>
        <w:t>[</w:t>
      </w:r>
      <w:proofErr w:type="gramEnd"/>
      <w:r w:rsidR="00F20A47" w:rsidRPr="00F20A47">
        <w:rPr>
          <w:rFonts w:eastAsia="Arial Unicode MS"/>
          <w:szCs w:val="24"/>
        </w:rPr>
        <w:t>1952] 2 S.C.R. 109 SCC</w:t>
      </w:r>
      <w:r w:rsidR="00EF61CF">
        <w:rPr>
          <w:rFonts w:eastAsia="Arial Unicode MS"/>
          <w:szCs w:val="24"/>
        </w:rPr>
        <w:t xml:space="preserve">; </w:t>
      </w:r>
      <w:r w:rsidR="00EF61CF">
        <w:rPr>
          <w:lang/>
        </w:rPr>
        <w:t xml:space="preserve">Links v. Robinson (1970), 16 C.B.R. (N.S.) 180 (Alta. </w:t>
      </w:r>
      <w:smartTag w:uri="urn:schemas-microsoft-com:office:smarttags" w:element="place">
        <w:smartTag w:uri="urn:schemas-microsoft-com:office:smarttags" w:element="country-region">
          <w:r w:rsidR="00EF61CF">
            <w:rPr>
              <w:lang/>
            </w:rPr>
            <w:t>C.A.</w:t>
          </w:r>
        </w:smartTag>
      </w:smartTag>
      <w:r w:rsidR="00EF61CF">
        <w:rPr>
          <w:lang/>
        </w:rPr>
        <w:t>)</w:t>
      </w:r>
    </w:p>
    <w:p w:rsidR="00635932" w:rsidRDefault="00635932" w:rsidP="00635932">
      <w:pPr>
        <w:spacing w:line="360" w:lineRule="auto"/>
        <w:ind w:left="360"/>
        <w:jc w:val="right"/>
        <w:rPr>
          <w:i/>
        </w:rPr>
      </w:pPr>
    </w:p>
    <w:p w:rsidR="00EF61CF" w:rsidRDefault="00EF61CF" w:rsidP="0088122D">
      <w:pPr>
        <w:pStyle w:val="BodyText2"/>
      </w:pPr>
      <w:r>
        <w:t>T</w:t>
      </w:r>
      <w:r w:rsidR="00A84C6E">
        <w:t xml:space="preserve">he law has developed so that </w:t>
      </w:r>
      <w:r>
        <w:t xml:space="preserve">a </w:t>
      </w:r>
      <w:r w:rsidR="00A84C6E">
        <w:t xml:space="preserve">bankrupt with </w:t>
      </w:r>
      <w:r>
        <w:t xml:space="preserve">a </w:t>
      </w:r>
      <w:r w:rsidR="00A84C6E">
        <w:t xml:space="preserve">large tax debt </w:t>
      </w:r>
      <w:r>
        <w:t>is</w:t>
      </w:r>
      <w:r w:rsidR="00A84C6E">
        <w:t xml:space="preserve"> treated differently from other </w:t>
      </w:r>
      <w:r>
        <w:t xml:space="preserve">bankrupts when the court is considering terms for </w:t>
      </w:r>
      <w:r w:rsidR="00A84C6E">
        <w:t>discharge</w:t>
      </w:r>
      <w:r>
        <w:t xml:space="preserve">.  This distinction is because everyone in the country must share the burden of taxes </w:t>
      </w:r>
    </w:p>
    <w:p w:rsidR="00F20A47" w:rsidRDefault="00F20A47" w:rsidP="001E5A29">
      <w:pPr>
        <w:pStyle w:val="mainparagraph1"/>
      </w:pPr>
      <w:r>
        <w:rPr>
          <w:lang/>
        </w:rPr>
        <w:t xml:space="preserve">Re </w:t>
      </w:r>
      <w:proofErr w:type="spellStart"/>
      <w:r>
        <w:rPr>
          <w:lang/>
        </w:rPr>
        <w:t>Katari</w:t>
      </w:r>
      <w:proofErr w:type="spellEnd"/>
      <w:r>
        <w:rPr>
          <w:lang/>
        </w:rPr>
        <w:t xml:space="preserve"> (1989), 74 C.B.R. (N.S.) 178 (</w:t>
      </w:r>
      <w:smartTag w:uri="urn:schemas-microsoft-com:office:smarttags" w:element="place">
        <w:smartTag w:uri="urn:schemas-microsoft-com:office:smarttags" w:element="City">
          <w:r>
            <w:rPr>
              <w:lang/>
            </w:rPr>
            <w:t>Ont.</w:t>
          </w:r>
        </w:smartTag>
        <w:r>
          <w:rPr>
            <w:lang/>
          </w:rPr>
          <w:t xml:space="preserve"> </w:t>
        </w:r>
        <w:smartTag w:uri="urn:schemas-microsoft-com:office:smarttags" w:element="State">
          <w:r>
            <w:rPr>
              <w:lang/>
            </w:rPr>
            <w:t>S.C.</w:t>
          </w:r>
        </w:smartTag>
      </w:smartTag>
      <w:r>
        <w:rPr>
          <w:lang/>
        </w:rPr>
        <w:t>),</w:t>
      </w:r>
    </w:p>
    <w:p w:rsidR="001E5A29" w:rsidRPr="0088122D" w:rsidRDefault="00EF61CF" w:rsidP="0088122D">
      <w:pPr>
        <w:pStyle w:val="BodyText2"/>
      </w:pPr>
      <w:r w:rsidRPr="0088122D">
        <w:t xml:space="preserve">The courts may </w:t>
      </w:r>
      <w:r w:rsidR="00635932" w:rsidRPr="0088122D">
        <w:t xml:space="preserve">refuse discharge for debtors who </w:t>
      </w:r>
      <w:r w:rsidR="00F20A47" w:rsidRPr="0088122D">
        <w:t xml:space="preserve">have persistently ignored tax obligations and scoffed at the tax system by </w:t>
      </w:r>
      <w:r w:rsidR="001E5A29" w:rsidRPr="0088122D">
        <w:t>let</w:t>
      </w:r>
      <w:r w:rsidRPr="0088122D">
        <w:t>ting</w:t>
      </w:r>
      <w:r w:rsidR="001E5A29" w:rsidRPr="0088122D">
        <w:t xml:space="preserve"> tax arrears build up</w:t>
      </w:r>
      <w:r w:rsidRPr="0088122D">
        <w:t xml:space="preserve"> and </w:t>
      </w:r>
      <w:r w:rsidR="001E5A29" w:rsidRPr="0088122D">
        <w:t xml:space="preserve">enjoying tax-free </w:t>
      </w:r>
      <w:r w:rsidR="00635932" w:rsidRPr="0088122D">
        <w:t xml:space="preserve">income </w:t>
      </w:r>
      <w:r w:rsidR="001E5A29" w:rsidRPr="0088122D">
        <w:t>until bankruptcy</w:t>
      </w:r>
      <w:r w:rsidR="00F20A47" w:rsidRPr="0088122D">
        <w:t>.</w:t>
      </w:r>
    </w:p>
    <w:p w:rsidR="00F20A47" w:rsidRPr="00F20A47" w:rsidRDefault="00F20A47" w:rsidP="00F20A47">
      <w:pPr>
        <w:snapToGrid w:val="0"/>
        <w:jc w:val="both"/>
        <w:rPr>
          <w:rFonts w:eastAsia="Arial Unicode MS"/>
          <w:color w:val="000000"/>
          <w:sz w:val="24"/>
          <w:szCs w:val="24"/>
          <w:lang/>
        </w:rPr>
      </w:pPr>
      <w:r w:rsidRPr="00F20A47">
        <w:rPr>
          <w:rFonts w:eastAsia="Arial Unicode MS"/>
          <w:color w:val="000000"/>
          <w:sz w:val="24"/>
          <w:szCs w:val="24"/>
          <w:lang/>
        </w:rPr>
        <w:t xml:space="preserve">Re </w:t>
      </w:r>
      <w:proofErr w:type="spellStart"/>
      <w:r w:rsidRPr="00F20A47">
        <w:rPr>
          <w:rFonts w:eastAsia="Arial Unicode MS"/>
          <w:color w:val="000000"/>
          <w:sz w:val="24"/>
          <w:szCs w:val="24"/>
          <w:lang/>
        </w:rPr>
        <w:t>Raymer</w:t>
      </w:r>
      <w:proofErr w:type="spellEnd"/>
      <w:r w:rsidRPr="00F20A47">
        <w:rPr>
          <w:rFonts w:eastAsia="Arial Unicode MS"/>
          <w:color w:val="000000"/>
          <w:sz w:val="24"/>
          <w:szCs w:val="24"/>
          <w:lang/>
        </w:rPr>
        <w:t xml:space="preserve"> </w:t>
      </w:r>
      <w:bookmarkStart w:id="9" w:name="reflex-caselaw-34687278"/>
      <w:r w:rsidRPr="00F20A47">
        <w:rPr>
          <w:rFonts w:eastAsia="Arial Unicode MS"/>
          <w:color w:val="000000"/>
          <w:sz w:val="24"/>
          <w:szCs w:val="24"/>
          <w:lang/>
        </w:rPr>
        <w:fldChar w:fldCharType="begin"/>
      </w:r>
      <w:r w:rsidRPr="00F20A47">
        <w:rPr>
          <w:rFonts w:eastAsia="Arial Unicode MS"/>
          <w:color w:val="000000"/>
          <w:sz w:val="24"/>
          <w:szCs w:val="24"/>
          <w:lang/>
        </w:rPr>
        <w:instrText xml:space="preserve"> HYPERLINK "http://www.canlii.org/en/on/onsc/doc/1996/1996canlii8273/1996canlii8273.html" </w:instrText>
      </w:r>
      <w:r w:rsidRPr="00F20A47">
        <w:rPr>
          <w:rFonts w:eastAsia="Arial Unicode MS"/>
          <w:color w:val="000000"/>
          <w:sz w:val="24"/>
          <w:szCs w:val="24"/>
          <w:lang/>
        </w:rPr>
        <w:fldChar w:fldCharType="separate"/>
      </w:r>
      <w:r w:rsidRPr="00F20A47">
        <w:rPr>
          <w:rFonts w:eastAsia="Arial Unicode MS"/>
          <w:color w:val="000000"/>
          <w:sz w:val="24"/>
          <w:szCs w:val="24"/>
          <w:lang/>
        </w:rPr>
        <w:t xml:space="preserve">1996 </w:t>
      </w:r>
      <w:proofErr w:type="spellStart"/>
      <w:r w:rsidRPr="00F20A47">
        <w:rPr>
          <w:rFonts w:eastAsia="Arial Unicode MS"/>
          <w:color w:val="000000"/>
          <w:sz w:val="24"/>
          <w:szCs w:val="24"/>
          <w:lang/>
        </w:rPr>
        <w:t>CanLII</w:t>
      </w:r>
      <w:proofErr w:type="spellEnd"/>
      <w:r w:rsidRPr="00F20A47">
        <w:rPr>
          <w:rFonts w:eastAsia="Arial Unicode MS"/>
          <w:color w:val="000000"/>
          <w:sz w:val="24"/>
          <w:szCs w:val="24"/>
          <w:lang/>
        </w:rPr>
        <w:t xml:space="preserve"> 8273 (ON S.C.)</w:t>
      </w:r>
      <w:r w:rsidRPr="00F20A47">
        <w:rPr>
          <w:rFonts w:eastAsia="Arial Unicode MS"/>
          <w:color w:val="000000"/>
          <w:sz w:val="24"/>
          <w:szCs w:val="24"/>
          <w:lang/>
        </w:rPr>
        <w:fldChar w:fldCharType="end"/>
      </w:r>
      <w:bookmarkEnd w:id="9"/>
      <w:r w:rsidRPr="00F20A47">
        <w:rPr>
          <w:rFonts w:eastAsia="Arial Unicode MS"/>
          <w:color w:val="000000"/>
          <w:sz w:val="24"/>
          <w:szCs w:val="24"/>
          <w:lang/>
        </w:rPr>
        <w:t>, (1997), 43 C.B.R. (3d) 263 (Ont. Gen. Div.)</w:t>
      </w:r>
      <w:r>
        <w:rPr>
          <w:rFonts w:eastAsia="Arial Unicode MS"/>
          <w:color w:val="000000"/>
          <w:sz w:val="24"/>
          <w:szCs w:val="24"/>
          <w:lang/>
        </w:rPr>
        <w:t>;</w:t>
      </w:r>
      <w:r w:rsidRPr="00F20A47">
        <w:rPr>
          <w:rFonts w:eastAsia="Arial Unicode MS"/>
          <w:color w:val="000000"/>
          <w:sz w:val="24"/>
          <w:szCs w:val="24"/>
          <w:lang/>
        </w:rPr>
        <w:t> </w:t>
      </w:r>
    </w:p>
    <w:p w:rsidR="00F20A47" w:rsidRPr="00F20A47" w:rsidRDefault="00F20A47" w:rsidP="00F20A47">
      <w:pPr>
        <w:pStyle w:val="Heading1"/>
        <w:rPr>
          <w:rFonts w:eastAsia="Arial Unicode MS"/>
          <w:b w:val="0"/>
          <w:color w:val="000000"/>
          <w:szCs w:val="24"/>
          <w:lang/>
        </w:rPr>
      </w:pPr>
      <w:proofErr w:type="gramStart"/>
      <w:r>
        <w:rPr>
          <w:rFonts w:eastAsia="Arial Unicode MS"/>
          <w:b w:val="0"/>
          <w:color w:val="000000"/>
          <w:szCs w:val="24"/>
          <w:lang/>
        </w:rPr>
        <w:t xml:space="preserve">Re </w:t>
      </w:r>
      <w:proofErr w:type="spellStart"/>
      <w:r w:rsidRPr="00F20A47">
        <w:rPr>
          <w:rFonts w:eastAsia="Arial Unicode MS"/>
          <w:b w:val="0"/>
          <w:color w:val="000000"/>
          <w:szCs w:val="24"/>
          <w:lang/>
        </w:rPr>
        <w:t>Wehner</w:t>
      </w:r>
      <w:proofErr w:type="spellEnd"/>
      <w:r w:rsidRPr="00F20A47">
        <w:rPr>
          <w:rFonts w:eastAsia="Arial Unicode MS"/>
          <w:b w:val="0"/>
          <w:color w:val="000000"/>
          <w:szCs w:val="24"/>
          <w:lang/>
        </w:rPr>
        <w:t xml:space="preserve">, </w:t>
      </w:r>
      <w:r w:rsidRPr="00F20A47">
        <w:rPr>
          <w:rFonts w:eastAsia="Arial Unicode MS"/>
          <w:b w:val="0"/>
          <w:szCs w:val="24"/>
        </w:rPr>
        <w:t xml:space="preserve">2000 </w:t>
      </w:r>
      <w:proofErr w:type="spellStart"/>
      <w:r w:rsidRPr="00F20A47">
        <w:rPr>
          <w:rFonts w:eastAsia="Arial Unicode MS"/>
          <w:b w:val="0"/>
          <w:szCs w:val="24"/>
        </w:rPr>
        <w:t>CanLII</w:t>
      </w:r>
      <w:proofErr w:type="spellEnd"/>
      <w:r w:rsidRPr="00F20A47">
        <w:rPr>
          <w:rFonts w:eastAsia="Arial Unicode MS"/>
          <w:b w:val="0"/>
          <w:szCs w:val="24"/>
        </w:rPr>
        <w:t xml:space="preserve"> 19763 (SK Q.B.)</w:t>
      </w:r>
      <w:proofErr w:type="gramEnd"/>
    </w:p>
    <w:p w:rsidR="00635932" w:rsidRDefault="00635932" w:rsidP="00635932">
      <w:pPr>
        <w:pStyle w:val="doubleindent-quote1"/>
        <w:spacing w:line="360" w:lineRule="auto"/>
        <w:ind w:left="0" w:firstLine="0"/>
        <w:rPr>
          <w:color w:val="000000"/>
          <w:lang/>
        </w:rPr>
      </w:pPr>
      <w:r w:rsidRPr="00635932">
        <w:t>To prevent the bankruptcy system form being abused, the court will provide a significant sanction to a bankrupt who has displayed an apparent indifference or disregard towards tax obligations.  Usually the sanction will take the form of a significant</w:t>
      </w:r>
      <w:r>
        <w:rPr>
          <w:color w:val="000000"/>
          <w:lang/>
        </w:rPr>
        <w:t xml:space="preserve"> conditional order of discharge based on a percentage of the tax debt.</w:t>
      </w:r>
    </w:p>
    <w:p w:rsidR="00C332F9" w:rsidRPr="00937113" w:rsidRDefault="00600BE9" w:rsidP="00B204A1">
      <w:pPr>
        <w:pStyle w:val="BodyText2"/>
      </w:pPr>
      <w:r>
        <w:rPr>
          <w:i/>
          <w:iCs/>
          <w:lang/>
        </w:rPr>
        <w:t>Re Steward</w:t>
      </w:r>
      <w:r>
        <w:rPr>
          <w:lang/>
        </w:rPr>
        <w:t xml:space="preserve"> </w:t>
      </w:r>
      <w:bookmarkStart w:id="10" w:name="reflex-caselaw-34652296"/>
      <w:r>
        <w:rPr>
          <w:lang/>
        </w:rPr>
        <w:fldChar w:fldCharType="begin"/>
      </w:r>
      <w:r>
        <w:rPr>
          <w:lang/>
        </w:rPr>
        <w:instrText xml:space="preserve"> HYPERLINK "http://www.canlii.org/en/bc/bcca/doc/1991/1991canlii1519/1991canlii1519.html" </w:instrText>
      </w:r>
      <w:r>
        <w:rPr>
          <w:lang/>
        </w:rPr>
        <w:fldChar w:fldCharType="separate"/>
      </w:r>
      <w:r>
        <w:rPr>
          <w:color w:val="0000FF"/>
          <w:u w:val="single"/>
          <w:lang/>
        </w:rPr>
        <w:t xml:space="preserve">1991 </w:t>
      </w:r>
      <w:proofErr w:type="spellStart"/>
      <w:r>
        <w:rPr>
          <w:color w:val="0000FF"/>
          <w:u w:val="single"/>
          <w:lang/>
        </w:rPr>
        <w:t>CanLII</w:t>
      </w:r>
      <w:proofErr w:type="spellEnd"/>
      <w:r>
        <w:rPr>
          <w:color w:val="0000FF"/>
          <w:u w:val="single"/>
          <w:lang/>
        </w:rPr>
        <w:t xml:space="preserve"> 1519 (BC C.A.)</w:t>
      </w:r>
      <w:r>
        <w:rPr>
          <w:lang/>
        </w:rPr>
        <w:fldChar w:fldCharType="end"/>
      </w:r>
      <w:bookmarkEnd w:id="10"/>
      <w:r>
        <w:rPr>
          <w:lang/>
        </w:rPr>
        <w:t>, (1991), 4 C.B.R. (3d) 240, affirmed 76 C.B.R. (N.S.) 181 (B.C.C.A.)</w:t>
      </w:r>
      <w:r w:rsidR="00635932">
        <w:rPr>
          <w:lang/>
        </w:rPr>
        <w:t xml:space="preserve">; </w:t>
      </w:r>
      <w:r>
        <w:rPr>
          <w:i/>
          <w:iCs/>
          <w:lang/>
        </w:rPr>
        <w:t xml:space="preserve">Re </w:t>
      </w:r>
      <w:proofErr w:type="spellStart"/>
      <w:r>
        <w:rPr>
          <w:i/>
          <w:iCs/>
          <w:lang/>
        </w:rPr>
        <w:t>Toal</w:t>
      </w:r>
      <w:proofErr w:type="spellEnd"/>
      <w:r>
        <w:rPr>
          <w:lang/>
        </w:rPr>
        <w:t xml:space="preserve"> </w:t>
      </w:r>
      <w:bookmarkStart w:id="11" w:name="reflex-caselaw-34652297"/>
      <w:r>
        <w:rPr>
          <w:lang/>
        </w:rPr>
        <w:fldChar w:fldCharType="begin"/>
      </w:r>
      <w:r>
        <w:rPr>
          <w:lang/>
        </w:rPr>
        <w:instrText xml:space="preserve"> HYPERLINK "http://www.canlii.org/en/reflex/83964.html" </w:instrText>
      </w:r>
      <w:r>
        <w:rPr>
          <w:lang/>
        </w:rPr>
        <w:fldChar w:fldCharType="separate"/>
      </w:r>
      <w:r>
        <w:rPr>
          <w:color w:val="0000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reflex-logo) " style="width:11.3pt;height:11.3pt" o:button="t">
            <v:imagedata r:id="rId6" r:href="rId7"/>
          </v:shape>
        </w:pict>
      </w:r>
      <w:r>
        <w:rPr>
          <w:rStyle w:val="term01"/>
          <w:color w:val="0000FF"/>
          <w:u w:val="single"/>
          <w:lang/>
        </w:rPr>
        <w:t>reflex</w:t>
      </w:r>
      <w:r>
        <w:rPr>
          <w:lang/>
        </w:rPr>
        <w:fldChar w:fldCharType="end"/>
      </w:r>
      <w:bookmarkEnd w:id="11"/>
      <w:r>
        <w:rPr>
          <w:lang/>
        </w:rPr>
        <w:t xml:space="preserve">, (1993), 20 C.B.R. (3d) 120 (Alta. Q.B.); affirmed </w:t>
      </w:r>
      <w:bookmarkStart w:id="12" w:name="reflex-caselaw-34652298"/>
      <w:r>
        <w:rPr>
          <w:lang/>
        </w:rPr>
        <w:fldChar w:fldCharType="begin"/>
      </w:r>
      <w:r>
        <w:rPr>
          <w:lang/>
        </w:rPr>
        <w:instrText xml:space="preserve"> HYPERLINK "http://www.canlii.org/en/ab/abqb/doc/1993/1993canlii3422/1993canlii3422.html" </w:instrText>
      </w:r>
      <w:r>
        <w:rPr>
          <w:lang/>
        </w:rPr>
        <w:fldChar w:fldCharType="separate"/>
      </w:r>
      <w:r>
        <w:rPr>
          <w:color w:val="0000FF"/>
          <w:u w:val="single"/>
          <w:lang/>
        </w:rPr>
        <w:t xml:space="preserve">1993 </w:t>
      </w:r>
      <w:proofErr w:type="spellStart"/>
      <w:r>
        <w:rPr>
          <w:color w:val="0000FF"/>
          <w:u w:val="single"/>
          <w:lang/>
        </w:rPr>
        <w:t>CanLII</w:t>
      </w:r>
      <w:proofErr w:type="spellEnd"/>
      <w:r>
        <w:rPr>
          <w:color w:val="0000FF"/>
          <w:u w:val="single"/>
          <w:lang/>
        </w:rPr>
        <w:t xml:space="preserve"> 3422 (AB Q.B.)</w:t>
      </w:r>
      <w:r>
        <w:rPr>
          <w:lang/>
        </w:rPr>
        <w:fldChar w:fldCharType="end"/>
      </w:r>
      <w:bookmarkEnd w:id="12"/>
      <w:r>
        <w:rPr>
          <w:lang/>
        </w:rPr>
        <w:t xml:space="preserve">, (1993), 22 C.B.R. (3d) 209 (Alta. Q.B.) upheld on appeal </w:t>
      </w:r>
      <w:bookmarkStart w:id="13" w:name="reflex-caselaw-34652299"/>
      <w:r>
        <w:rPr>
          <w:lang/>
        </w:rPr>
        <w:fldChar w:fldCharType="begin"/>
      </w:r>
      <w:r>
        <w:rPr>
          <w:lang/>
        </w:rPr>
        <w:instrText xml:space="preserve"> HYPERLINK "http://www.canlii.org/en/reflex/30697.html" </w:instrText>
      </w:r>
      <w:r>
        <w:rPr>
          <w:lang/>
        </w:rPr>
        <w:fldChar w:fldCharType="separate"/>
      </w:r>
      <w:r>
        <w:rPr>
          <w:color w:val="0000FF"/>
          <w:lang/>
        </w:rPr>
        <w:pict>
          <v:shape id="_x0000_i1026" type="#_x0000_t75" alt=" (reflex-logo) " style="width:11.3pt;height:11.3pt" o:button="t">
            <v:imagedata r:id="rId6" r:href="rId8"/>
          </v:shape>
        </w:pict>
      </w:r>
      <w:r>
        <w:rPr>
          <w:color w:val="0000FF"/>
          <w:u w:val="single"/>
          <w:lang/>
        </w:rPr>
        <w:t>reflex</w:t>
      </w:r>
      <w:r>
        <w:rPr>
          <w:lang/>
        </w:rPr>
        <w:fldChar w:fldCharType="end"/>
      </w:r>
      <w:bookmarkEnd w:id="13"/>
      <w:r>
        <w:rPr>
          <w:lang/>
        </w:rPr>
        <w:t xml:space="preserve">, (1996), 39 C.B.R. (3d) 39 (Alta. C.A.), </w:t>
      </w:r>
      <w:r>
        <w:rPr>
          <w:i/>
          <w:iCs/>
          <w:lang/>
        </w:rPr>
        <w:t>Re Graham,</w:t>
      </w:r>
      <w:r>
        <w:rPr>
          <w:lang/>
        </w:rPr>
        <w:t xml:space="preserve"> </w:t>
      </w:r>
      <w:bookmarkStart w:id="14" w:name="reflex-caselaw-34652300"/>
      <w:bookmarkEnd w:id="14"/>
      <w:r>
        <w:rPr>
          <w:lang/>
        </w:rPr>
        <w:t>[1997] S.J. No. 35.</w:t>
      </w:r>
      <w:r w:rsidRPr="00635932">
        <w:rPr>
          <w:i/>
          <w:color w:val="000000"/>
          <w:lang/>
        </w:rPr>
        <w:t>Re Martino</w:t>
      </w:r>
      <w:r w:rsidRPr="00600BE9">
        <w:rPr>
          <w:rStyle w:val="BodyText"/>
          <w:rFonts w:ascii="Verdana" w:hAnsi="Verdana"/>
          <w:color w:val="000000"/>
          <w:lang/>
        </w:rPr>
        <w:t xml:space="preserve"> </w:t>
      </w:r>
      <w:r w:rsidRPr="00635932">
        <w:t xml:space="preserve">2004 </w:t>
      </w:r>
      <w:proofErr w:type="spellStart"/>
      <w:r w:rsidRPr="00635932">
        <w:t>CanLII</w:t>
      </w:r>
      <w:proofErr w:type="spellEnd"/>
      <w:r w:rsidRPr="00635932">
        <w:t xml:space="preserve"> 17978 (ON S.C.)</w:t>
      </w:r>
      <w:r w:rsidR="00635932">
        <w:t>;</w:t>
      </w:r>
      <w:r>
        <w:rPr>
          <w:color w:val="000000"/>
          <w:lang/>
        </w:rPr>
        <w:t xml:space="preserve"> </w:t>
      </w:r>
      <w:r>
        <w:rPr>
          <w:b/>
          <w:bCs/>
          <w:i/>
          <w:iCs/>
          <w:color w:val="000000"/>
          <w:lang/>
        </w:rPr>
        <w:t xml:space="preserve">Re Martens </w:t>
      </w:r>
      <w:bookmarkStart w:id="15" w:name="reflex-caselaw-31434812"/>
      <w:bookmarkEnd w:id="15"/>
      <w:r>
        <w:rPr>
          <w:color w:val="000000"/>
          <w:lang/>
        </w:rPr>
        <w:t>[1994] A.J. No. 1265,</w:t>
      </w:r>
      <w:r>
        <w:rPr>
          <w:b/>
          <w:bCs/>
          <w:i/>
          <w:iCs/>
          <w:color w:val="000000"/>
          <w:lang/>
        </w:rPr>
        <w:t xml:space="preserve"> Graham (Re) </w:t>
      </w:r>
      <w:bookmarkStart w:id="16" w:name="reflex-caselaw-31434814"/>
      <w:bookmarkEnd w:id="16"/>
      <w:r>
        <w:rPr>
          <w:color w:val="000000"/>
          <w:lang/>
        </w:rPr>
        <w:t xml:space="preserve">[1997] S.J. No. 35 (Q.B.).  </w:t>
      </w:r>
      <w:r w:rsidR="00C332F9">
        <w:rPr>
          <w:b/>
          <w:i/>
        </w:rPr>
        <w:t xml:space="preserve">Re </w:t>
      </w:r>
      <w:proofErr w:type="spellStart"/>
      <w:r w:rsidR="00C332F9">
        <w:rPr>
          <w:b/>
          <w:i/>
        </w:rPr>
        <w:t>LeMaigre</w:t>
      </w:r>
      <w:proofErr w:type="spellEnd"/>
      <w:r w:rsidR="00C332F9">
        <w:rPr>
          <w:b/>
          <w:i/>
        </w:rPr>
        <w:t xml:space="preserve"> </w:t>
      </w:r>
      <w:r w:rsidR="00C332F9">
        <w:t>(1997) 46 C.B.R</w:t>
      </w:r>
      <w:proofErr w:type="gramStart"/>
      <w:r w:rsidR="00C332F9">
        <w:t>.(</w:t>
      </w:r>
      <w:proofErr w:type="gramEnd"/>
      <w:r w:rsidR="00C332F9">
        <w:t>3d) 236 (</w:t>
      </w:r>
      <w:proofErr w:type="spellStart"/>
      <w:smartTag w:uri="urn:schemas-microsoft-com:office:smarttags" w:element="place">
        <w:smartTag w:uri="urn:schemas-microsoft-com:office:smarttags" w:element="State">
          <w:r w:rsidR="00C332F9">
            <w:t>Sask</w:t>
          </w:r>
        </w:smartTag>
      </w:smartTag>
      <w:proofErr w:type="spellEnd"/>
      <w:r w:rsidR="00C332F9">
        <w:t xml:space="preserve"> </w:t>
      </w:r>
      <w:proofErr w:type="spellStart"/>
      <w:r w:rsidR="00C332F9">
        <w:t>Q.B.Reg</w:t>
      </w:r>
      <w:proofErr w:type="spellEnd"/>
      <w:r w:rsidR="00C332F9">
        <w:t>.)</w:t>
      </w:r>
      <w:r w:rsidR="00F20A47" w:rsidRPr="00F20A47">
        <w:rPr>
          <w:lang/>
        </w:rPr>
        <w:t xml:space="preserve"> </w:t>
      </w:r>
      <w:r w:rsidR="00F20A47">
        <w:rPr>
          <w:lang/>
        </w:rPr>
        <w:t xml:space="preserve">Links v. Robinson (1970), 16 C.B.R. (N.S.) 180 (Alta. </w:t>
      </w:r>
      <w:smartTag w:uri="urn:schemas-microsoft-com:office:smarttags" w:element="country-region">
        <w:smartTag w:uri="urn:schemas-microsoft-com:office:smarttags" w:element="place">
          <w:r w:rsidR="00F20A47">
            <w:rPr>
              <w:lang/>
            </w:rPr>
            <w:t>C.A.</w:t>
          </w:r>
        </w:smartTag>
      </w:smartTag>
      <w:r w:rsidR="00F20A47">
        <w:rPr>
          <w:lang/>
        </w:rPr>
        <w:t>)</w:t>
      </w:r>
    </w:p>
    <w:p w:rsidR="00C332F9" w:rsidRDefault="00C332F9" w:rsidP="00C332F9">
      <w:pPr>
        <w:spacing w:line="360" w:lineRule="auto"/>
        <w:ind w:left="360"/>
        <w:jc w:val="right"/>
      </w:pPr>
    </w:p>
    <w:p w:rsidR="00442FEB" w:rsidRDefault="00600BE9" w:rsidP="00442FEB">
      <w:pPr>
        <w:pStyle w:val="doubleindent-quote1"/>
        <w:spacing w:line="360" w:lineRule="auto"/>
        <w:ind w:left="0" w:firstLine="0"/>
        <w:rPr>
          <w:color w:val="000000"/>
          <w:lang/>
        </w:rPr>
      </w:pPr>
      <w:r w:rsidRPr="00635932">
        <w:t>The question of whether a bankruptcy arises through unfortunate event</w:t>
      </w:r>
      <w:r w:rsidR="00635932">
        <w:t>s</w:t>
      </w:r>
      <w:r w:rsidRPr="00635932">
        <w:t xml:space="preserve"> on the one hand, or through indifference to obligations, on the other hand, is an important distinction </w:t>
      </w:r>
      <w:r w:rsidR="0088122D">
        <w:t xml:space="preserve">on </w:t>
      </w:r>
      <w:r w:rsidR="00635932">
        <w:t>the discharge of a bankrupt with significant tax debts</w:t>
      </w:r>
      <w:r w:rsidR="0088122D">
        <w:t xml:space="preserve">. </w:t>
      </w:r>
      <w:r w:rsidR="00635932">
        <w:t xml:space="preserve"> </w:t>
      </w:r>
      <w:r w:rsidR="00442FEB">
        <w:lastRenderedPageBreak/>
        <w:t xml:space="preserve">The court will consider the evidence presented to determine if the bankrupt preferred creditors over CRA and whether the bankruptcy was designed to avoid payment of tax debts. </w:t>
      </w:r>
    </w:p>
    <w:p w:rsidR="00600BE9" w:rsidRDefault="00600BE9" w:rsidP="00635932">
      <w:pPr>
        <w:pStyle w:val="doubleindent-quote1"/>
        <w:spacing w:line="360" w:lineRule="auto"/>
        <w:ind w:left="0" w:firstLine="0"/>
      </w:pPr>
    </w:p>
    <w:p w:rsidR="00442FEB" w:rsidRDefault="00635932" w:rsidP="00635932">
      <w:pPr>
        <w:pStyle w:val="doubleindent-quote1"/>
        <w:spacing w:line="360" w:lineRule="auto"/>
        <w:ind w:left="0" w:firstLine="0"/>
      </w:pPr>
      <w:r>
        <w:t xml:space="preserve">Steward v The </w:t>
      </w:r>
      <w:proofErr w:type="gramStart"/>
      <w:r>
        <w:t>Attorney  General</w:t>
      </w:r>
      <w:proofErr w:type="gramEnd"/>
      <w:r>
        <w:t xml:space="preserve"> of Canada (1991) 4 C.B.R. (3d) 240 (B.C.C.A.);</w:t>
      </w:r>
      <w:r>
        <w:br/>
      </w:r>
    </w:p>
    <w:p w:rsidR="00C332F9" w:rsidRDefault="00C332F9" w:rsidP="00635932">
      <w:pPr>
        <w:pStyle w:val="doubleindent-quote1"/>
        <w:spacing w:line="360" w:lineRule="auto"/>
        <w:ind w:left="0" w:firstLine="0"/>
      </w:pPr>
      <w:r>
        <w:t xml:space="preserve">If the court chooses to impose conditions for discharge it must be within the bankrupt’s capacity to </w:t>
      </w:r>
      <w:r w:rsidR="00442FEB">
        <w:t>fulfill</w:t>
      </w:r>
      <w:r>
        <w:t xml:space="preserve"> those conditions and to </w:t>
      </w:r>
      <w:r w:rsidR="00442FEB">
        <w:t>fulfill</w:t>
      </w:r>
      <w:r>
        <w:t xml:space="preserve"> them within a reasonable period of time.</w:t>
      </w:r>
    </w:p>
    <w:p w:rsidR="00C332F9" w:rsidRDefault="00C332F9" w:rsidP="00C332F9">
      <w:pPr>
        <w:spacing w:line="360" w:lineRule="auto"/>
        <w:ind w:left="360"/>
        <w:jc w:val="right"/>
      </w:pPr>
      <w:r w:rsidRPr="007A7BB9">
        <w:rPr>
          <w:b/>
          <w:i/>
        </w:rPr>
        <w:t>Re:  McCallum</w:t>
      </w:r>
      <w:r>
        <w:rPr>
          <w:i/>
        </w:rPr>
        <w:t xml:space="preserve"> 29 BCLR 2, 333 BCCA,</w:t>
      </w:r>
      <w:r>
        <w:rPr>
          <w:i/>
        </w:rPr>
        <w:br/>
        <w:t xml:space="preserve">  </w:t>
      </w:r>
      <w:r w:rsidRPr="007A7BB9">
        <w:rPr>
          <w:b/>
          <w:i/>
        </w:rPr>
        <w:t>Re:  Boucher</w:t>
      </w:r>
      <w:r>
        <w:rPr>
          <w:i/>
        </w:rPr>
        <w:t xml:space="preserve"> 2007 BSCS 644</w:t>
      </w:r>
    </w:p>
    <w:p w:rsidR="00635932" w:rsidRDefault="00635932" w:rsidP="00635932">
      <w:pPr>
        <w:pStyle w:val="Title"/>
        <w:spacing w:line="360" w:lineRule="auto"/>
        <w:jc w:val="left"/>
        <w:rPr>
          <w:b w:val="0"/>
          <w:sz w:val="24"/>
        </w:rPr>
      </w:pPr>
      <w:r>
        <w:rPr>
          <w:b w:val="0"/>
          <w:sz w:val="24"/>
        </w:rPr>
        <w:t>Even in a tax driven bankruptcy, the court may not order a monetary conditional discharge if the bankruptcy has no ability to pay and the only realistic source of payment is the bankrupt’s spouse.  In some circumstances the court may adjourn the discharge application for a period of time in order to determine the bankrupt’s ability to pay a conditional order of discharge in the future.</w:t>
      </w:r>
    </w:p>
    <w:p w:rsidR="00C332F9" w:rsidRDefault="00C332F9" w:rsidP="00C332F9">
      <w:pPr>
        <w:pStyle w:val="Title"/>
        <w:spacing w:line="360" w:lineRule="auto"/>
        <w:jc w:val="left"/>
        <w:rPr>
          <w:b w:val="0"/>
          <w:sz w:val="24"/>
        </w:rPr>
      </w:pPr>
    </w:p>
    <w:p w:rsidR="00C332F9" w:rsidRDefault="00C332F9" w:rsidP="00C332F9">
      <w:pPr>
        <w:pStyle w:val="Title"/>
        <w:spacing w:line="360" w:lineRule="auto"/>
        <w:jc w:val="left"/>
        <w:rPr>
          <w:b w:val="0"/>
          <w:sz w:val="24"/>
        </w:rPr>
      </w:pPr>
      <w:proofErr w:type="gramStart"/>
      <w:r>
        <w:rPr>
          <w:b w:val="0"/>
          <w:i/>
          <w:sz w:val="24"/>
        </w:rPr>
        <w:t>Re  Alexander</w:t>
      </w:r>
      <w:proofErr w:type="gramEnd"/>
      <w:r>
        <w:rPr>
          <w:b w:val="0"/>
          <w:i/>
          <w:sz w:val="24"/>
        </w:rPr>
        <w:t xml:space="preserve"> </w:t>
      </w:r>
      <w:r>
        <w:rPr>
          <w:b w:val="0"/>
          <w:sz w:val="24"/>
        </w:rPr>
        <w:t>[2007] BCSC 564 (</w:t>
      </w:r>
      <w:proofErr w:type="spellStart"/>
      <w:r>
        <w:rPr>
          <w:b w:val="0"/>
          <w:sz w:val="24"/>
        </w:rPr>
        <w:t>Tysoe</w:t>
      </w:r>
      <w:proofErr w:type="spellEnd"/>
      <w:r>
        <w:rPr>
          <w:b w:val="0"/>
          <w:sz w:val="24"/>
        </w:rPr>
        <w:t xml:space="preserve"> J.)</w:t>
      </w:r>
    </w:p>
    <w:p w:rsidR="00C332F9" w:rsidRDefault="00C332F9" w:rsidP="00C332F9">
      <w:pPr>
        <w:pStyle w:val="Title"/>
        <w:spacing w:line="360" w:lineRule="auto"/>
        <w:jc w:val="left"/>
        <w:rPr>
          <w:b w:val="0"/>
          <w:sz w:val="24"/>
        </w:rPr>
      </w:pPr>
    </w:p>
    <w:p w:rsidR="00C332F9" w:rsidRDefault="00C332F9" w:rsidP="00C332F9">
      <w:pPr>
        <w:pStyle w:val="Title"/>
        <w:spacing w:line="360" w:lineRule="auto"/>
        <w:jc w:val="left"/>
        <w:rPr>
          <w:b w:val="0"/>
          <w:sz w:val="24"/>
        </w:rPr>
      </w:pPr>
    </w:p>
    <w:sectPr w:rsidR="00C332F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C14"/>
    <w:multiLevelType w:val="hybridMultilevel"/>
    <w:tmpl w:val="192C0EB2"/>
    <w:lvl w:ilvl="0" w:tplc="45AC48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EE6"/>
    <w:rsid w:val="00013DAE"/>
    <w:rsid w:val="0003580E"/>
    <w:rsid w:val="00091396"/>
    <w:rsid w:val="000A5E59"/>
    <w:rsid w:val="00152D10"/>
    <w:rsid w:val="00165428"/>
    <w:rsid w:val="001953CA"/>
    <w:rsid w:val="001A5300"/>
    <w:rsid w:val="001C61C4"/>
    <w:rsid w:val="001C6258"/>
    <w:rsid w:val="001D6CAF"/>
    <w:rsid w:val="001E5A29"/>
    <w:rsid w:val="00225E20"/>
    <w:rsid w:val="00233463"/>
    <w:rsid w:val="002A7A1A"/>
    <w:rsid w:val="002B680B"/>
    <w:rsid w:val="002B7515"/>
    <w:rsid w:val="00304165"/>
    <w:rsid w:val="00330B9D"/>
    <w:rsid w:val="0039163F"/>
    <w:rsid w:val="003B0197"/>
    <w:rsid w:val="003B2676"/>
    <w:rsid w:val="004222BC"/>
    <w:rsid w:val="00432CD1"/>
    <w:rsid w:val="00442FEB"/>
    <w:rsid w:val="0044720B"/>
    <w:rsid w:val="00453FAF"/>
    <w:rsid w:val="004756E4"/>
    <w:rsid w:val="004B2971"/>
    <w:rsid w:val="004D131A"/>
    <w:rsid w:val="004D7334"/>
    <w:rsid w:val="004F5769"/>
    <w:rsid w:val="0051099C"/>
    <w:rsid w:val="00515E3C"/>
    <w:rsid w:val="0051654A"/>
    <w:rsid w:val="00566B30"/>
    <w:rsid w:val="005C442A"/>
    <w:rsid w:val="00600BE9"/>
    <w:rsid w:val="0061144A"/>
    <w:rsid w:val="006131BE"/>
    <w:rsid w:val="00632044"/>
    <w:rsid w:val="00635932"/>
    <w:rsid w:val="006F3211"/>
    <w:rsid w:val="00701D36"/>
    <w:rsid w:val="00710B74"/>
    <w:rsid w:val="00736767"/>
    <w:rsid w:val="00771683"/>
    <w:rsid w:val="007A030B"/>
    <w:rsid w:val="007B6D75"/>
    <w:rsid w:val="007E7B01"/>
    <w:rsid w:val="007F1EE6"/>
    <w:rsid w:val="008000C8"/>
    <w:rsid w:val="00804FFF"/>
    <w:rsid w:val="00865419"/>
    <w:rsid w:val="0088122D"/>
    <w:rsid w:val="008C5BFE"/>
    <w:rsid w:val="008F0151"/>
    <w:rsid w:val="00924F74"/>
    <w:rsid w:val="0092656E"/>
    <w:rsid w:val="00967967"/>
    <w:rsid w:val="00967E02"/>
    <w:rsid w:val="00984D94"/>
    <w:rsid w:val="009B6BE2"/>
    <w:rsid w:val="009E60A2"/>
    <w:rsid w:val="00A1329C"/>
    <w:rsid w:val="00A61152"/>
    <w:rsid w:val="00A84128"/>
    <w:rsid w:val="00A84C6E"/>
    <w:rsid w:val="00AF63C0"/>
    <w:rsid w:val="00B17FD1"/>
    <w:rsid w:val="00B204A1"/>
    <w:rsid w:val="00B27715"/>
    <w:rsid w:val="00B72686"/>
    <w:rsid w:val="00BB4B41"/>
    <w:rsid w:val="00BC1A50"/>
    <w:rsid w:val="00BE3EB1"/>
    <w:rsid w:val="00C332F9"/>
    <w:rsid w:val="00C37210"/>
    <w:rsid w:val="00C46BF6"/>
    <w:rsid w:val="00C51054"/>
    <w:rsid w:val="00CD4435"/>
    <w:rsid w:val="00DA3719"/>
    <w:rsid w:val="00DB3654"/>
    <w:rsid w:val="00E1174A"/>
    <w:rsid w:val="00E64F1A"/>
    <w:rsid w:val="00E85FFE"/>
    <w:rsid w:val="00EA5182"/>
    <w:rsid w:val="00EE7B83"/>
    <w:rsid w:val="00EF5DE6"/>
    <w:rsid w:val="00EF61CF"/>
    <w:rsid w:val="00F20411"/>
    <w:rsid w:val="00F20A47"/>
    <w:rsid w:val="00F52E3D"/>
    <w:rsid w:val="00F57F8D"/>
    <w:rsid w:val="00FC07DA"/>
    <w:rsid w:val="00FD446C"/>
    <w:rsid w:val="00FF3A7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4"/>
    </w:rPr>
  </w:style>
  <w:style w:type="paragraph" w:styleId="BodyText2">
    <w:name w:val="Body Text 2"/>
    <w:basedOn w:val="Normal"/>
    <w:pPr>
      <w:spacing w:line="360" w:lineRule="auto"/>
    </w:pPr>
    <w:rPr>
      <w:sz w:val="24"/>
    </w:rPr>
  </w:style>
  <w:style w:type="paragraph" w:customStyle="1" w:styleId="article">
    <w:name w:val="article"/>
    <w:basedOn w:val="Normal"/>
    <w:rsid w:val="00F57F8D"/>
    <w:pPr>
      <w:spacing w:before="120" w:after="120"/>
      <w:ind w:firstLine="336"/>
    </w:pPr>
    <w:rPr>
      <w:sz w:val="24"/>
      <w:szCs w:val="24"/>
    </w:rPr>
  </w:style>
  <w:style w:type="paragraph" w:customStyle="1" w:styleId="noartpara">
    <w:name w:val="no_art_para"/>
    <w:basedOn w:val="Normal"/>
    <w:rsid w:val="00F57F8D"/>
    <w:pPr>
      <w:spacing w:before="120" w:after="120"/>
      <w:ind w:left="336"/>
    </w:pPr>
    <w:rPr>
      <w:sz w:val="24"/>
      <w:szCs w:val="24"/>
    </w:rPr>
  </w:style>
  <w:style w:type="paragraph" w:customStyle="1" w:styleId="emjambement-artoupar">
    <w:name w:val="emjambement-art_ou_par"/>
    <w:basedOn w:val="Normal"/>
    <w:rsid w:val="00F57F8D"/>
    <w:pPr>
      <w:spacing w:before="120" w:after="120"/>
      <w:ind w:left="336"/>
    </w:pPr>
    <w:rPr>
      <w:sz w:val="24"/>
      <w:szCs w:val="24"/>
    </w:rPr>
  </w:style>
  <w:style w:type="paragraph" w:customStyle="1" w:styleId="sous-alinea">
    <w:name w:val="sous-alinea"/>
    <w:basedOn w:val="Normal"/>
    <w:rsid w:val="00F57F8D"/>
    <w:pPr>
      <w:spacing w:before="120" w:after="120"/>
      <w:ind w:left="648"/>
    </w:pPr>
    <w:rPr>
      <w:sz w:val="24"/>
      <w:szCs w:val="24"/>
    </w:rPr>
  </w:style>
  <w:style w:type="character" w:customStyle="1" w:styleId="noarticlepara">
    <w:name w:val="no_article_para"/>
    <w:basedOn w:val="DefaultParagraphFont"/>
    <w:rsid w:val="00F57F8D"/>
    <w:rPr>
      <w:b/>
      <w:bCs/>
    </w:rPr>
  </w:style>
  <w:style w:type="character" w:styleId="Hyperlink">
    <w:name w:val="Hyperlink"/>
    <w:basedOn w:val="DefaultParagraphFont"/>
    <w:rsid w:val="00771683"/>
    <w:rPr>
      <w:strike w:val="0"/>
      <w:dstrike w:val="0"/>
      <w:color w:val="027ABB"/>
      <w:u w:val="none"/>
      <w:effect w:val="none"/>
    </w:rPr>
  </w:style>
  <w:style w:type="paragraph" w:customStyle="1" w:styleId="cjcparagr01c11">
    <w:name w:val="cjcparagr01 c11"/>
    <w:basedOn w:val="Normal"/>
    <w:rsid w:val="00771683"/>
    <w:pPr>
      <w:spacing w:before="100" w:beforeAutospacing="1" w:after="100" w:afterAutospacing="1"/>
    </w:pPr>
    <w:rPr>
      <w:sz w:val="24"/>
      <w:szCs w:val="24"/>
    </w:rPr>
  </w:style>
  <w:style w:type="paragraph" w:customStyle="1" w:styleId="quotec14">
    <w:name w:val="quote c14"/>
    <w:basedOn w:val="Normal"/>
    <w:rsid w:val="00771683"/>
    <w:pPr>
      <w:spacing w:before="100" w:beforeAutospacing="1" w:after="100" w:afterAutospacing="1"/>
    </w:pPr>
    <w:rPr>
      <w:sz w:val="24"/>
      <w:szCs w:val="24"/>
    </w:rPr>
  </w:style>
  <w:style w:type="character" w:customStyle="1" w:styleId="c10">
    <w:name w:val="c10"/>
    <w:basedOn w:val="DefaultParagraphFont"/>
    <w:rsid w:val="00771683"/>
  </w:style>
  <w:style w:type="character" w:customStyle="1" w:styleId="c17">
    <w:name w:val="c17"/>
    <w:basedOn w:val="DefaultParagraphFont"/>
    <w:rsid w:val="00771683"/>
  </w:style>
  <w:style w:type="paragraph" w:customStyle="1" w:styleId="paragraphe">
    <w:name w:val="paragraphe"/>
    <w:basedOn w:val="Normal"/>
    <w:rsid w:val="00701D36"/>
    <w:pPr>
      <w:spacing w:before="120" w:after="120"/>
      <w:ind w:firstLine="336"/>
    </w:pPr>
    <w:rPr>
      <w:sz w:val="24"/>
      <w:szCs w:val="24"/>
    </w:rPr>
  </w:style>
  <w:style w:type="paragraph" w:styleId="NormalWeb">
    <w:name w:val="Normal (Web)"/>
    <w:basedOn w:val="Normal"/>
    <w:rsid w:val="00A61152"/>
    <w:pPr>
      <w:spacing w:before="100" w:beforeAutospacing="1" w:after="100" w:afterAutospacing="1"/>
    </w:pPr>
    <w:rPr>
      <w:sz w:val="24"/>
      <w:szCs w:val="24"/>
    </w:rPr>
  </w:style>
  <w:style w:type="character" w:customStyle="1" w:styleId="term01">
    <w:name w:val="term01"/>
    <w:basedOn w:val="DefaultParagraphFont"/>
    <w:rsid w:val="00A61152"/>
    <w:rPr>
      <w:shd w:val="clear" w:color="auto" w:fill="FFB4B4"/>
    </w:rPr>
  </w:style>
  <w:style w:type="paragraph" w:customStyle="1" w:styleId="cjcparagr01c9">
    <w:name w:val="cjcparagr01 c9"/>
    <w:basedOn w:val="Normal"/>
    <w:rsid w:val="00B72686"/>
    <w:pPr>
      <w:spacing w:before="100" w:beforeAutospacing="1" w:after="100" w:afterAutospacing="1"/>
    </w:pPr>
    <w:rPr>
      <w:sz w:val="24"/>
      <w:szCs w:val="24"/>
    </w:rPr>
  </w:style>
  <w:style w:type="character" w:customStyle="1" w:styleId="c8">
    <w:name w:val="c8"/>
    <w:basedOn w:val="DefaultParagraphFont"/>
    <w:rsid w:val="00B72686"/>
  </w:style>
  <w:style w:type="character" w:styleId="FootnoteReference">
    <w:name w:val="footnote reference"/>
    <w:basedOn w:val="DefaultParagraphFont"/>
    <w:rsid w:val="00F20411"/>
  </w:style>
  <w:style w:type="character" w:customStyle="1" w:styleId="canliicitation">
    <w:name w:val="canliicitation"/>
    <w:basedOn w:val="DefaultParagraphFont"/>
    <w:rsid w:val="00F20411"/>
  </w:style>
  <w:style w:type="paragraph" w:customStyle="1" w:styleId="normalnumber1">
    <w:name w:val="normalnumber1"/>
    <w:basedOn w:val="Normal"/>
    <w:rsid w:val="00A84C6E"/>
    <w:pPr>
      <w:spacing w:after="240"/>
    </w:pPr>
    <w:rPr>
      <w:rFonts w:ascii="Arial" w:hAnsi="Arial" w:cs="Arial"/>
      <w:sz w:val="24"/>
      <w:szCs w:val="24"/>
    </w:rPr>
  </w:style>
  <w:style w:type="paragraph" w:customStyle="1" w:styleId="quote1">
    <w:name w:val="quote1"/>
    <w:basedOn w:val="Normal"/>
    <w:rsid w:val="00A84C6E"/>
    <w:pPr>
      <w:spacing w:after="240"/>
      <w:ind w:left="720" w:right="720"/>
    </w:pPr>
    <w:rPr>
      <w:rFonts w:ascii="Arial" w:hAnsi="Arial" w:cs="Arial"/>
      <w:sz w:val="24"/>
      <w:szCs w:val="24"/>
    </w:rPr>
  </w:style>
  <w:style w:type="paragraph" w:customStyle="1" w:styleId="transcript1">
    <w:name w:val="transcript1"/>
    <w:basedOn w:val="Normal"/>
    <w:rsid w:val="00A84C6E"/>
    <w:pPr>
      <w:spacing w:after="240"/>
      <w:ind w:left="1440" w:right="720" w:hanging="720"/>
    </w:pPr>
    <w:rPr>
      <w:rFonts w:ascii="Arial" w:hAnsi="Arial" w:cs="Arial"/>
      <w:sz w:val="24"/>
      <w:szCs w:val="24"/>
    </w:rPr>
  </w:style>
  <w:style w:type="paragraph" w:styleId="Title">
    <w:name w:val="Title"/>
    <w:basedOn w:val="Normal"/>
    <w:qFormat/>
    <w:rsid w:val="00C332F9"/>
    <w:pPr>
      <w:jc w:val="center"/>
    </w:pPr>
    <w:rPr>
      <w:b/>
      <w:sz w:val="28"/>
    </w:rPr>
  </w:style>
  <w:style w:type="paragraph" w:customStyle="1" w:styleId="mainparagraph1">
    <w:name w:val="mainparagraph1"/>
    <w:basedOn w:val="Normal"/>
    <w:rsid w:val="00600BE9"/>
    <w:pPr>
      <w:spacing w:after="240"/>
      <w:jc w:val="both"/>
    </w:pPr>
    <w:rPr>
      <w:rFonts w:eastAsia="Arial Unicode MS"/>
      <w:sz w:val="24"/>
      <w:szCs w:val="24"/>
    </w:rPr>
  </w:style>
  <w:style w:type="paragraph" w:customStyle="1" w:styleId="doubleindent-quote1">
    <w:name w:val="doubleindent-quote1"/>
    <w:basedOn w:val="Normal"/>
    <w:rsid w:val="00600BE9"/>
    <w:pPr>
      <w:ind w:left="720" w:right="720" w:hanging="720"/>
      <w:jc w:val="both"/>
    </w:pPr>
    <w:rPr>
      <w:rFonts w:eastAsia="Arial Unicode MS"/>
      <w:sz w:val="24"/>
      <w:szCs w:val="24"/>
    </w:rPr>
  </w:style>
  <w:style w:type="character" w:customStyle="1" w:styleId="term02">
    <w:name w:val="term02"/>
    <w:basedOn w:val="DefaultParagraphFont"/>
    <w:rsid w:val="00515E3C"/>
    <w:rPr>
      <w:shd w:val="clear" w:color="auto" w:fill="FFB4B4"/>
    </w:rPr>
  </w:style>
</w:styles>
</file>

<file path=word/webSettings.xml><?xml version="1.0" encoding="utf-8"?>
<w:webSettings xmlns:r="http://schemas.openxmlformats.org/officeDocument/2006/relationships" xmlns:w="http://schemas.openxmlformats.org/wordprocessingml/2006/main">
  <w:divs>
    <w:div w:id="250506053">
      <w:bodyDiv w:val="1"/>
      <w:marLeft w:val="0"/>
      <w:marRight w:val="0"/>
      <w:marTop w:val="0"/>
      <w:marBottom w:val="0"/>
      <w:divBdr>
        <w:top w:val="none" w:sz="0" w:space="0" w:color="auto"/>
        <w:left w:val="none" w:sz="0" w:space="0" w:color="auto"/>
        <w:bottom w:val="none" w:sz="0" w:space="0" w:color="auto"/>
        <w:right w:val="none" w:sz="0" w:space="0" w:color="auto"/>
      </w:divBdr>
      <w:divsChild>
        <w:div w:id="1342853746">
          <w:marLeft w:val="0"/>
          <w:marRight w:val="0"/>
          <w:marTop w:val="0"/>
          <w:marBottom w:val="0"/>
          <w:divBdr>
            <w:top w:val="none" w:sz="0" w:space="0" w:color="auto"/>
            <w:left w:val="none" w:sz="0" w:space="0" w:color="auto"/>
            <w:bottom w:val="none" w:sz="0" w:space="0" w:color="auto"/>
            <w:right w:val="none" w:sz="0" w:space="0" w:color="auto"/>
          </w:divBdr>
          <w:divsChild>
            <w:div w:id="2141067731">
              <w:marLeft w:val="0"/>
              <w:marRight w:val="0"/>
              <w:marTop w:val="0"/>
              <w:marBottom w:val="0"/>
              <w:divBdr>
                <w:top w:val="single" w:sz="4" w:space="0" w:color="000000"/>
                <w:left w:val="none" w:sz="0" w:space="0" w:color="auto"/>
                <w:bottom w:val="none" w:sz="0" w:space="0" w:color="auto"/>
                <w:right w:val="none" w:sz="0" w:space="0" w:color="auto"/>
              </w:divBdr>
              <w:divsChild>
                <w:div w:id="16363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73220">
      <w:bodyDiv w:val="1"/>
      <w:marLeft w:val="0"/>
      <w:marRight w:val="0"/>
      <w:marTop w:val="0"/>
      <w:marBottom w:val="0"/>
      <w:divBdr>
        <w:top w:val="none" w:sz="0" w:space="0" w:color="auto"/>
        <w:left w:val="none" w:sz="0" w:space="0" w:color="auto"/>
        <w:bottom w:val="none" w:sz="0" w:space="0" w:color="auto"/>
        <w:right w:val="none" w:sz="0" w:space="0" w:color="auto"/>
      </w:divBdr>
      <w:divsChild>
        <w:div w:id="1556552520">
          <w:marLeft w:val="0"/>
          <w:marRight w:val="0"/>
          <w:marTop w:val="0"/>
          <w:marBottom w:val="0"/>
          <w:divBdr>
            <w:top w:val="none" w:sz="0" w:space="0" w:color="auto"/>
            <w:left w:val="none" w:sz="0" w:space="0" w:color="auto"/>
            <w:bottom w:val="none" w:sz="0" w:space="0" w:color="auto"/>
            <w:right w:val="none" w:sz="0" w:space="0" w:color="auto"/>
          </w:divBdr>
          <w:divsChild>
            <w:div w:id="4862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984">
      <w:bodyDiv w:val="1"/>
      <w:marLeft w:val="0"/>
      <w:marRight w:val="0"/>
      <w:marTop w:val="0"/>
      <w:marBottom w:val="0"/>
      <w:divBdr>
        <w:top w:val="none" w:sz="0" w:space="0" w:color="auto"/>
        <w:left w:val="none" w:sz="0" w:space="0" w:color="auto"/>
        <w:bottom w:val="none" w:sz="0" w:space="0" w:color="auto"/>
        <w:right w:val="none" w:sz="0" w:space="0" w:color="auto"/>
      </w:divBdr>
      <w:divsChild>
        <w:div w:id="917712907">
          <w:marLeft w:val="0"/>
          <w:marRight w:val="0"/>
          <w:marTop w:val="0"/>
          <w:marBottom w:val="0"/>
          <w:divBdr>
            <w:top w:val="none" w:sz="0" w:space="0" w:color="auto"/>
            <w:left w:val="none" w:sz="0" w:space="0" w:color="auto"/>
            <w:bottom w:val="none" w:sz="0" w:space="0" w:color="auto"/>
            <w:right w:val="none" w:sz="0" w:space="0" w:color="auto"/>
          </w:divBdr>
          <w:divsChild>
            <w:div w:id="1201625970">
              <w:marLeft w:val="0"/>
              <w:marRight w:val="0"/>
              <w:marTop w:val="0"/>
              <w:marBottom w:val="0"/>
              <w:divBdr>
                <w:top w:val="none" w:sz="0" w:space="0" w:color="auto"/>
                <w:left w:val="none" w:sz="0" w:space="0" w:color="auto"/>
                <w:bottom w:val="none" w:sz="0" w:space="0" w:color="auto"/>
                <w:right w:val="none" w:sz="0" w:space="0" w:color="auto"/>
              </w:divBdr>
              <w:divsChild>
                <w:div w:id="1225486603">
                  <w:marLeft w:val="0"/>
                  <w:marRight w:val="0"/>
                  <w:marTop w:val="0"/>
                  <w:marBottom w:val="0"/>
                  <w:divBdr>
                    <w:top w:val="none" w:sz="0" w:space="0" w:color="auto"/>
                    <w:left w:val="none" w:sz="0" w:space="0" w:color="auto"/>
                    <w:bottom w:val="none" w:sz="0" w:space="0" w:color="auto"/>
                    <w:right w:val="none" w:sz="0" w:space="0" w:color="auto"/>
                  </w:divBdr>
                </w:div>
                <w:div w:id="1585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90513">
      <w:bodyDiv w:val="1"/>
      <w:marLeft w:val="0"/>
      <w:marRight w:val="0"/>
      <w:marTop w:val="0"/>
      <w:marBottom w:val="0"/>
      <w:divBdr>
        <w:top w:val="none" w:sz="0" w:space="0" w:color="auto"/>
        <w:left w:val="none" w:sz="0" w:space="0" w:color="auto"/>
        <w:bottom w:val="none" w:sz="0" w:space="0" w:color="auto"/>
        <w:right w:val="none" w:sz="0" w:space="0" w:color="auto"/>
      </w:divBdr>
      <w:divsChild>
        <w:div w:id="1600673452">
          <w:marLeft w:val="0"/>
          <w:marRight w:val="0"/>
          <w:marTop w:val="0"/>
          <w:marBottom w:val="0"/>
          <w:divBdr>
            <w:top w:val="none" w:sz="0" w:space="0" w:color="auto"/>
            <w:left w:val="none" w:sz="0" w:space="0" w:color="auto"/>
            <w:bottom w:val="none" w:sz="0" w:space="0" w:color="auto"/>
            <w:right w:val="none" w:sz="0" w:space="0" w:color="auto"/>
          </w:divBdr>
          <w:divsChild>
            <w:div w:id="1378627293">
              <w:marLeft w:val="0"/>
              <w:marRight w:val="0"/>
              <w:marTop w:val="0"/>
              <w:marBottom w:val="0"/>
              <w:divBdr>
                <w:top w:val="none" w:sz="0" w:space="0" w:color="auto"/>
                <w:left w:val="none" w:sz="0" w:space="0" w:color="auto"/>
                <w:bottom w:val="none" w:sz="0" w:space="0" w:color="auto"/>
                <w:right w:val="none" w:sz="0" w:space="0" w:color="auto"/>
              </w:divBdr>
              <w:divsChild>
                <w:div w:id="4914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046">
      <w:bodyDiv w:val="1"/>
      <w:marLeft w:val="0"/>
      <w:marRight w:val="0"/>
      <w:marTop w:val="0"/>
      <w:marBottom w:val="0"/>
      <w:divBdr>
        <w:top w:val="none" w:sz="0" w:space="0" w:color="auto"/>
        <w:left w:val="none" w:sz="0" w:space="0" w:color="auto"/>
        <w:bottom w:val="none" w:sz="0" w:space="0" w:color="auto"/>
        <w:right w:val="none" w:sz="0" w:space="0" w:color="auto"/>
      </w:divBdr>
      <w:divsChild>
        <w:div w:id="1523280608">
          <w:marLeft w:val="0"/>
          <w:marRight w:val="0"/>
          <w:marTop w:val="0"/>
          <w:marBottom w:val="0"/>
          <w:divBdr>
            <w:top w:val="none" w:sz="0" w:space="0" w:color="auto"/>
            <w:left w:val="none" w:sz="0" w:space="0" w:color="auto"/>
            <w:bottom w:val="none" w:sz="0" w:space="0" w:color="auto"/>
            <w:right w:val="none" w:sz="0" w:space="0" w:color="auto"/>
          </w:divBdr>
          <w:divsChild>
            <w:div w:id="26219824">
              <w:marLeft w:val="0"/>
              <w:marRight w:val="0"/>
              <w:marTop w:val="0"/>
              <w:marBottom w:val="0"/>
              <w:divBdr>
                <w:top w:val="single" w:sz="6" w:space="0" w:color="000000"/>
                <w:left w:val="none" w:sz="0" w:space="0" w:color="auto"/>
                <w:bottom w:val="none" w:sz="0" w:space="0" w:color="auto"/>
                <w:right w:val="none" w:sz="0" w:space="0" w:color="auto"/>
              </w:divBdr>
              <w:divsChild>
                <w:div w:id="14744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801">
      <w:bodyDiv w:val="1"/>
      <w:marLeft w:val="0"/>
      <w:marRight w:val="0"/>
      <w:marTop w:val="0"/>
      <w:marBottom w:val="0"/>
      <w:divBdr>
        <w:top w:val="none" w:sz="0" w:space="0" w:color="auto"/>
        <w:left w:val="none" w:sz="0" w:space="0" w:color="auto"/>
        <w:bottom w:val="none" w:sz="0" w:space="0" w:color="auto"/>
        <w:right w:val="none" w:sz="0" w:space="0" w:color="auto"/>
      </w:divBdr>
      <w:divsChild>
        <w:div w:id="1015423139">
          <w:marLeft w:val="0"/>
          <w:marRight w:val="0"/>
          <w:marTop w:val="0"/>
          <w:marBottom w:val="0"/>
          <w:divBdr>
            <w:top w:val="none" w:sz="0" w:space="0" w:color="auto"/>
            <w:left w:val="none" w:sz="0" w:space="0" w:color="auto"/>
            <w:bottom w:val="none" w:sz="0" w:space="0" w:color="auto"/>
            <w:right w:val="none" w:sz="0" w:space="0" w:color="auto"/>
          </w:divBdr>
        </w:div>
      </w:divsChild>
    </w:div>
    <w:div w:id="826476118">
      <w:bodyDiv w:val="1"/>
      <w:marLeft w:val="0"/>
      <w:marRight w:val="0"/>
      <w:marTop w:val="0"/>
      <w:marBottom w:val="0"/>
      <w:divBdr>
        <w:top w:val="none" w:sz="0" w:space="0" w:color="auto"/>
        <w:left w:val="none" w:sz="0" w:space="0" w:color="auto"/>
        <w:bottom w:val="none" w:sz="0" w:space="0" w:color="auto"/>
        <w:right w:val="none" w:sz="0" w:space="0" w:color="auto"/>
      </w:divBdr>
      <w:divsChild>
        <w:div w:id="527766404">
          <w:marLeft w:val="0"/>
          <w:marRight w:val="0"/>
          <w:marTop w:val="0"/>
          <w:marBottom w:val="0"/>
          <w:divBdr>
            <w:top w:val="none" w:sz="0" w:space="0" w:color="auto"/>
            <w:left w:val="none" w:sz="0" w:space="0" w:color="auto"/>
            <w:bottom w:val="none" w:sz="0" w:space="0" w:color="auto"/>
            <w:right w:val="none" w:sz="0" w:space="0" w:color="auto"/>
          </w:divBdr>
          <w:divsChild>
            <w:div w:id="12793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937">
      <w:bodyDiv w:val="1"/>
      <w:marLeft w:val="0"/>
      <w:marRight w:val="0"/>
      <w:marTop w:val="0"/>
      <w:marBottom w:val="0"/>
      <w:divBdr>
        <w:top w:val="none" w:sz="0" w:space="0" w:color="auto"/>
        <w:left w:val="none" w:sz="0" w:space="0" w:color="auto"/>
        <w:bottom w:val="none" w:sz="0" w:space="0" w:color="auto"/>
        <w:right w:val="none" w:sz="0" w:space="0" w:color="auto"/>
      </w:divBdr>
      <w:divsChild>
        <w:div w:id="168445308">
          <w:marLeft w:val="0"/>
          <w:marRight w:val="0"/>
          <w:marTop w:val="0"/>
          <w:marBottom w:val="0"/>
          <w:divBdr>
            <w:top w:val="none" w:sz="0" w:space="0" w:color="auto"/>
            <w:left w:val="none" w:sz="0" w:space="0" w:color="auto"/>
            <w:bottom w:val="none" w:sz="0" w:space="0" w:color="auto"/>
            <w:right w:val="none" w:sz="0" w:space="0" w:color="auto"/>
          </w:divBdr>
          <w:divsChild>
            <w:div w:id="10858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154">
      <w:bodyDiv w:val="1"/>
      <w:marLeft w:val="0"/>
      <w:marRight w:val="0"/>
      <w:marTop w:val="0"/>
      <w:marBottom w:val="0"/>
      <w:divBdr>
        <w:top w:val="none" w:sz="0" w:space="0" w:color="auto"/>
        <w:left w:val="none" w:sz="0" w:space="0" w:color="auto"/>
        <w:bottom w:val="none" w:sz="0" w:space="0" w:color="auto"/>
        <w:right w:val="none" w:sz="0" w:space="0" w:color="auto"/>
      </w:divBdr>
      <w:divsChild>
        <w:div w:id="1355225632">
          <w:marLeft w:val="0"/>
          <w:marRight w:val="0"/>
          <w:marTop w:val="0"/>
          <w:marBottom w:val="0"/>
          <w:divBdr>
            <w:top w:val="none" w:sz="0" w:space="0" w:color="auto"/>
            <w:left w:val="none" w:sz="0" w:space="0" w:color="auto"/>
            <w:bottom w:val="none" w:sz="0" w:space="0" w:color="auto"/>
            <w:right w:val="none" w:sz="0" w:space="0" w:color="auto"/>
          </w:divBdr>
          <w:divsChild>
            <w:div w:id="2086606595">
              <w:marLeft w:val="0"/>
              <w:marRight w:val="0"/>
              <w:marTop w:val="0"/>
              <w:marBottom w:val="0"/>
              <w:divBdr>
                <w:top w:val="single" w:sz="12" w:space="0" w:color="000000"/>
                <w:left w:val="none" w:sz="0" w:space="0" w:color="auto"/>
                <w:bottom w:val="none" w:sz="0" w:space="0" w:color="auto"/>
                <w:right w:val="none" w:sz="0" w:space="0" w:color="auto"/>
              </w:divBdr>
              <w:divsChild>
                <w:div w:id="285233699">
                  <w:marLeft w:val="0"/>
                  <w:marRight w:val="0"/>
                  <w:marTop w:val="192"/>
                  <w:marBottom w:val="0"/>
                  <w:divBdr>
                    <w:top w:val="none" w:sz="0" w:space="0" w:color="auto"/>
                    <w:left w:val="none" w:sz="0" w:space="0" w:color="auto"/>
                    <w:bottom w:val="none" w:sz="0" w:space="0" w:color="auto"/>
                    <w:right w:val="none" w:sz="0" w:space="0" w:color="auto"/>
                  </w:divBdr>
                </w:div>
                <w:div w:id="945774868">
                  <w:marLeft w:val="0"/>
                  <w:marRight w:val="0"/>
                  <w:marTop w:val="192"/>
                  <w:marBottom w:val="0"/>
                  <w:divBdr>
                    <w:top w:val="none" w:sz="0" w:space="0" w:color="auto"/>
                    <w:left w:val="none" w:sz="0" w:space="0" w:color="auto"/>
                    <w:bottom w:val="none" w:sz="0" w:space="0" w:color="auto"/>
                    <w:right w:val="none" w:sz="0" w:space="0" w:color="auto"/>
                  </w:divBdr>
                </w:div>
                <w:div w:id="1471240521">
                  <w:marLeft w:val="0"/>
                  <w:marRight w:val="0"/>
                  <w:marTop w:val="192"/>
                  <w:marBottom w:val="0"/>
                  <w:divBdr>
                    <w:top w:val="none" w:sz="0" w:space="0" w:color="auto"/>
                    <w:left w:val="none" w:sz="0" w:space="0" w:color="auto"/>
                    <w:bottom w:val="none" w:sz="0" w:space="0" w:color="auto"/>
                    <w:right w:val="none" w:sz="0" w:space="0" w:color="auto"/>
                  </w:divBdr>
                </w:div>
                <w:div w:id="2016228275">
                  <w:marLeft w:val="0"/>
                  <w:marRight w:val="0"/>
                  <w:marTop w:val="192"/>
                  <w:marBottom w:val="0"/>
                  <w:divBdr>
                    <w:top w:val="none" w:sz="0" w:space="0" w:color="auto"/>
                    <w:left w:val="none" w:sz="0" w:space="0" w:color="auto"/>
                    <w:bottom w:val="none" w:sz="0" w:space="0" w:color="auto"/>
                    <w:right w:val="none" w:sz="0" w:space="0" w:color="auto"/>
                  </w:divBdr>
                </w:div>
                <w:div w:id="21462652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168208391">
      <w:bodyDiv w:val="1"/>
      <w:marLeft w:val="0"/>
      <w:marRight w:val="0"/>
      <w:marTop w:val="0"/>
      <w:marBottom w:val="0"/>
      <w:divBdr>
        <w:top w:val="none" w:sz="0" w:space="0" w:color="auto"/>
        <w:left w:val="none" w:sz="0" w:space="0" w:color="auto"/>
        <w:bottom w:val="none" w:sz="0" w:space="0" w:color="auto"/>
        <w:right w:val="none" w:sz="0" w:space="0" w:color="auto"/>
      </w:divBdr>
    </w:div>
    <w:div w:id="1183586976">
      <w:bodyDiv w:val="1"/>
      <w:marLeft w:val="0"/>
      <w:marRight w:val="0"/>
      <w:marTop w:val="0"/>
      <w:marBottom w:val="0"/>
      <w:divBdr>
        <w:top w:val="none" w:sz="0" w:space="0" w:color="auto"/>
        <w:left w:val="none" w:sz="0" w:space="0" w:color="auto"/>
        <w:bottom w:val="none" w:sz="0" w:space="0" w:color="auto"/>
        <w:right w:val="none" w:sz="0" w:space="0" w:color="auto"/>
      </w:divBdr>
      <w:divsChild>
        <w:div w:id="1363936295">
          <w:marLeft w:val="0"/>
          <w:marRight w:val="0"/>
          <w:marTop w:val="0"/>
          <w:marBottom w:val="0"/>
          <w:divBdr>
            <w:top w:val="none" w:sz="0" w:space="0" w:color="auto"/>
            <w:left w:val="none" w:sz="0" w:space="0" w:color="auto"/>
            <w:bottom w:val="none" w:sz="0" w:space="0" w:color="auto"/>
            <w:right w:val="none" w:sz="0" w:space="0" w:color="auto"/>
          </w:divBdr>
          <w:divsChild>
            <w:div w:id="12701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708">
      <w:bodyDiv w:val="1"/>
      <w:marLeft w:val="0"/>
      <w:marRight w:val="0"/>
      <w:marTop w:val="0"/>
      <w:marBottom w:val="0"/>
      <w:divBdr>
        <w:top w:val="none" w:sz="0" w:space="0" w:color="auto"/>
        <w:left w:val="none" w:sz="0" w:space="0" w:color="auto"/>
        <w:bottom w:val="none" w:sz="0" w:space="0" w:color="auto"/>
        <w:right w:val="none" w:sz="0" w:space="0" w:color="auto"/>
      </w:divBdr>
      <w:divsChild>
        <w:div w:id="874856511">
          <w:marLeft w:val="0"/>
          <w:marRight w:val="0"/>
          <w:marTop w:val="0"/>
          <w:marBottom w:val="0"/>
          <w:divBdr>
            <w:top w:val="none" w:sz="0" w:space="0" w:color="auto"/>
            <w:left w:val="none" w:sz="0" w:space="0" w:color="auto"/>
            <w:bottom w:val="none" w:sz="0" w:space="0" w:color="auto"/>
            <w:right w:val="none" w:sz="0" w:space="0" w:color="auto"/>
          </w:divBdr>
          <w:divsChild>
            <w:div w:id="1680890557">
              <w:marLeft w:val="0"/>
              <w:marRight w:val="0"/>
              <w:marTop w:val="0"/>
              <w:marBottom w:val="0"/>
              <w:divBdr>
                <w:top w:val="single" w:sz="12" w:space="0" w:color="000000"/>
                <w:left w:val="none" w:sz="0" w:space="0" w:color="auto"/>
                <w:bottom w:val="none" w:sz="0" w:space="0" w:color="auto"/>
                <w:right w:val="none" w:sz="0" w:space="0" w:color="auto"/>
              </w:divBdr>
              <w:divsChild>
                <w:div w:id="1012493539">
                  <w:marLeft w:val="0"/>
                  <w:marRight w:val="0"/>
                  <w:marTop w:val="192"/>
                  <w:marBottom w:val="0"/>
                  <w:divBdr>
                    <w:top w:val="none" w:sz="0" w:space="0" w:color="auto"/>
                    <w:left w:val="none" w:sz="0" w:space="0" w:color="auto"/>
                    <w:bottom w:val="none" w:sz="0" w:space="0" w:color="auto"/>
                    <w:right w:val="none" w:sz="0" w:space="0" w:color="auto"/>
                  </w:divBdr>
                </w:div>
                <w:div w:id="1197810380">
                  <w:marLeft w:val="0"/>
                  <w:marRight w:val="0"/>
                  <w:marTop w:val="192"/>
                  <w:marBottom w:val="0"/>
                  <w:divBdr>
                    <w:top w:val="none" w:sz="0" w:space="0" w:color="auto"/>
                    <w:left w:val="none" w:sz="0" w:space="0" w:color="auto"/>
                    <w:bottom w:val="none" w:sz="0" w:space="0" w:color="auto"/>
                    <w:right w:val="none" w:sz="0" w:space="0" w:color="auto"/>
                  </w:divBdr>
                </w:div>
                <w:div w:id="1600215997">
                  <w:marLeft w:val="0"/>
                  <w:marRight w:val="0"/>
                  <w:marTop w:val="192"/>
                  <w:marBottom w:val="0"/>
                  <w:divBdr>
                    <w:top w:val="none" w:sz="0" w:space="0" w:color="auto"/>
                    <w:left w:val="none" w:sz="0" w:space="0" w:color="auto"/>
                    <w:bottom w:val="none" w:sz="0" w:space="0" w:color="auto"/>
                    <w:right w:val="none" w:sz="0" w:space="0" w:color="auto"/>
                  </w:divBdr>
                </w:div>
                <w:div w:id="1968268821">
                  <w:marLeft w:val="0"/>
                  <w:marRight w:val="0"/>
                  <w:marTop w:val="192"/>
                  <w:marBottom w:val="0"/>
                  <w:divBdr>
                    <w:top w:val="none" w:sz="0" w:space="0" w:color="auto"/>
                    <w:left w:val="none" w:sz="0" w:space="0" w:color="auto"/>
                    <w:bottom w:val="none" w:sz="0" w:space="0" w:color="auto"/>
                    <w:right w:val="none" w:sz="0" w:space="0" w:color="auto"/>
                  </w:divBdr>
                </w:div>
                <w:div w:id="20563921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419059506">
      <w:bodyDiv w:val="1"/>
      <w:marLeft w:val="0"/>
      <w:marRight w:val="0"/>
      <w:marTop w:val="0"/>
      <w:marBottom w:val="0"/>
      <w:divBdr>
        <w:top w:val="none" w:sz="0" w:space="0" w:color="auto"/>
        <w:left w:val="none" w:sz="0" w:space="0" w:color="auto"/>
        <w:bottom w:val="none" w:sz="0" w:space="0" w:color="auto"/>
        <w:right w:val="none" w:sz="0" w:space="0" w:color="auto"/>
      </w:divBdr>
      <w:divsChild>
        <w:div w:id="2145341941">
          <w:marLeft w:val="0"/>
          <w:marRight w:val="0"/>
          <w:marTop w:val="0"/>
          <w:marBottom w:val="0"/>
          <w:divBdr>
            <w:top w:val="none" w:sz="0" w:space="0" w:color="auto"/>
            <w:left w:val="none" w:sz="0" w:space="0" w:color="auto"/>
            <w:bottom w:val="none" w:sz="0" w:space="0" w:color="auto"/>
            <w:right w:val="none" w:sz="0" w:space="0" w:color="auto"/>
          </w:divBdr>
          <w:divsChild>
            <w:div w:id="276185056">
              <w:marLeft w:val="0"/>
              <w:marRight w:val="0"/>
              <w:marTop w:val="0"/>
              <w:marBottom w:val="0"/>
              <w:divBdr>
                <w:top w:val="none" w:sz="0" w:space="0" w:color="auto"/>
                <w:left w:val="none" w:sz="0" w:space="0" w:color="auto"/>
                <w:bottom w:val="none" w:sz="0" w:space="0" w:color="auto"/>
                <w:right w:val="none" w:sz="0" w:space="0" w:color="auto"/>
              </w:divBdr>
              <w:divsChild>
                <w:div w:id="1200708588">
                  <w:marLeft w:val="0"/>
                  <w:marRight w:val="0"/>
                  <w:marTop w:val="0"/>
                  <w:marBottom w:val="0"/>
                  <w:divBdr>
                    <w:top w:val="none" w:sz="0" w:space="0" w:color="auto"/>
                    <w:left w:val="none" w:sz="0" w:space="0" w:color="auto"/>
                    <w:bottom w:val="none" w:sz="0" w:space="0" w:color="auto"/>
                    <w:right w:val="none" w:sz="0" w:space="0" w:color="auto"/>
                  </w:divBdr>
                </w:div>
                <w:div w:id="19527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8458">
      <w:bodyDiv w:val="1"/>
      <w:marLeft w:val="0"/>
      <w:marRight w:val="0"/>
      <w:marTop w:val="0"/>
      <w:marBottom w:val="0"/>
      <w:divBdr>
        <w:top w:val="none" w:sz="0" w:space="0" w:color="auto"/>
        <w:left w:val="none" w:sz="0" w:space="0" w:color="auto"/>
        <w:bottom w:val="none" w:sz="0" w:space="0" w:color="auto"/>
        <w:right w:val="none" w:sz="0" w:space="0" w:color="auto"/>
      </w:divBdr>
      <w:divsChild>
        <w:div w:id="73166921">
          <w:marLeft w:val="0"/>
          <w:marRight w:val="0"/>
          <w:marTop w:val="0"/>
          <w:marBottom w:val="0"/>
          <w:divBdr>
            <w:top w:val="none" w:sz="0" w:space="0" w:color="auto"/>
            <w:left w:val="none" w:sz="0" w:space="0" w:color="auto"/>
            <w:bottom w:val="none" w:sz="0" w:space="0" w:color="auto"/>
            <w:right w:val="none" w:sz="0" w:space="0" w:color="auto"/>
          </w:divBdr>
          <w:divsChild>
            <w:div w:id="9637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827">
      <w:bodyDiv w:val="1"/>
      <w:marLeft w:val="0"/>
      <w:marRight w:val="0"/>
      <w:marTop w:val="0"/>
      <w:marBottom w:val="0"/>
      <w:divBdr>
        <w:top w:val="none" w:sz="0" w:space="0" w:color="auto"/>
        <w:left w:val="none" w:sz="0" w:space="0" w:color="auto"/>
        <w:bottom w:val="none" w:sz="0" w:space="0" w:color="auto"/>
        <w:right w:val="none" w:sz="0" w:space="0" w:color="auto"/>
      </w:divBdr>
      <w:divsChild>
        <w:div w:id="1172840155">
          <w:marLeft w:val="0"/>
          <w:marRight w:val="0"/>
          <w:marTop w:val="0"/>
          <w:marBottom w:val="0"/>
          <w:divBdr>
            <w:top w:val="none" w:sz="0" w:space="0" w:color="auto"/>
            <w:left w:val="none" w:sz="0" w:space="0" w:color="auto"/>
            <w:bottom w:val="none" w:sz="0" w:space="0" w:color="auto"/>
            <w:right w:val="none" w:sz="0" w:space="0" w:color="auto"/>
          </w:divBdr>
          <w:divsChild>
            <w:div w:id="93212716">
              <w:marLeft w:val="0"/>
              <w:marRight w:val="0"/>
              <w:marTop w:val="0"/>
              <w:marBottom w:val="0"/>
              <w:divBdr>
                <w:top w:val="single" w:sz="12" w:space="0" w:color="000000"/>
                <w:left w:val="none" w:sz="0" w:space="0" w:color="auto"/>
                <w:bottom w:val="none" w:sz="0" w:space="0" w:color="auto"/>
                <w:right w:val="none" w:sz="0" w:space="0" w:color="auto"/>
              </w:divBdr>
              <w:divsChild>
                <w:div w:id="21369476">
                  <w:marLeft w:val="0"/>
                  <w:marRight w:val="0"/>
                  <w:marTop w:val="192"/>
                  <w:marBottom w:val="0"/>
                  <w:divBdr>
                    <w:top w:val="none" w:sz="0" w:space="0" w:color="auto"/>
                    <w:left w:val="none" w:sz="0" w:space="0" w:color="auto"/>
                    <w:bottom w:val="none" w:sz="0" w:space="0" w:color="auto"/>
                    <w:right w:val="none" w:sz="0" w:space="0" w:color="auto"/>
                  </w:divBdr>
                </w:div>
                <w:div w:id="515115113">
                  <w:marLeft w:val="0"/>
                  <w:marRight w:val="0"/>
                  <w:marTop w:val="192"/>
                  <w:marBottom w:val="0"/>
                  <w:divBdr>
                    <w:top w:val="none" w:sz="0" w:space="0" w:color="auto"/>
                    <w:left w:val="none" w:sz="0" w:space="0" w:color="auto"/>
                    <w:bottom w:val="none" w:sz="0" w:space="0" w:color="auto"/>
                    <w:right w:val="none" w:sz="0" w:space="0" w:color="auto"/>
                  </w:divBdr>
                </w:div>
                <w:div w:id="541014326">
                  <w:marLeft w:val="0"/>
                  <w:marRight w:val="0"/>
                  <w:marTop w:val="192"/>
                  <w:marBottom w:val="0"/>
                  <w:divBdr>
                    <w:top w:val="none" w:sz="0" w:space="0" w:color="auto"/>
                    <w:left w:val="none" w:sz="0" w:space="0" w:color="auto"/>
                    <w:bottom w:val="none" w:sz="0" w:space="0" w:color="auto"/>
                    <w:right w:val="none" w:sz="0" w:space="0" w:color="auto"/>
                  </w:divBdr>
                </w:div>
                <w:div w:id="1429038346">
                  <w:marLeft w:val="0"/>
                  <w:marRight w:val="0"/>
                  <w:marTop w:val="192"/>
                  <w:marBottom w:val="0"/>
                  <w:divBdr>
                    <w:top w:val="none" w:sz="0" w:space="0" w:color="auto"/>
                    <w:left w:val="none" w:sz="0" w:space="0" w:color="auto"/>
                    <w:bottom w:val="none" w:sz="0" w:space="0" w:color="auto"/>
                    <w:right w:val="none" w:sz="0" w:space="0" w:color="auto"/>
                  </w:divBdr>
                </w:div>
                <w:div w:id="1711030424">
                  <w:marLeft w:val="0"/>
                  <w:marRight w:val="0"/>
                  <w:marTop w:val="192"/>
                  <w:marBottom w:val="0"/>
                  <w:divBdr>
                    <w:top w:val="none" w:sz="0" w:space="0" w:color="auto"/>
                    <w:left w:val="none" w:sz="0" w:space="0" w:color="auto"/>
                    <w:bottom w:val="none" w:sz="0" w:space="0" w:color="auto"/>
                    <w:right w:val="none" w:sz="0" w:space="0" w:color="auto"/>
                  </w:divBdr>
                </w:div>
                <w:div w:id="18689099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666519555">
      <w:bodyDiv w:val="1"/>
      <w:marLeft w:val="0"/>
      <w:marRight w:val="0"/>
      <w:marTop w:val="0"/>
      <w:marBottom w:val="0"/>
      <w:divBdr>
        <w:top w:val="none" w:sz="0" w:space="0" w:color="auto"/>
        <w:left w:val="none" w:sz="0" w:space="0" w:color="auto"/>
        <w:bottom w:val="none" w:sz="0" w:space="0" w:color="auto"/>
        <w:right w:val="none" w:sz="0" w:space="0" w:color="auto"/>
      </w:divBdr>
      <w:divsChild>
        <w:div w:id="1285043169">
          <w:marLeft w:val="0"/>
          <w:marRight w:val="0"/>
          <w:marTop w:val="0"/>
          <w:marBottom w:val="0"/>
          <w:divBdr>
            <w:top w:val="none" w:sz="0" w:space="0" w:color="auto"/>
            <w:left w:val="none" w:sz="0" w:space="0" w:color="auto"/>
            <w:bottom w:val="none" w:sz="0" w:space="0" w:color="auto"/>
            <w:right w:val="none" w:sz="0" w:space="0" w:color="auto"/>
          </w:divBdr>
          <w:divsChild>
            <w:div w:id="377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5665">
      <w:bodyDiv w:val="1"/>
      <w:marLeft w:val="0"/>
      <w:marRight w:val="0"/>
      <w:marTop w:val="0"/>
      <w:marBottom w:val="0"/>
      <w:divBdr>
        <w:top w:val="none" w:sz="0" w:space="0" w:color="auto"/>
        <w:left w:val="none" w:sz="0" w:space="0" w:color="auto"/>
        <w:bottom w:val="none" w:sz="0" w:space="0" w:color="auto"/>
        <w:right w:val="none" w:sz="0" w:space="0" w:color="auto"/>
      </w:divBdr>
    </w:div>
    <w:div w:id="178677364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7">
          <w:marLeft w:val="0"/>
          <w:marRight w:val="0"/>
          <w:marTop w:val="0"/>
          <w:marBottom w:val="0"/>
          <w:divBdr>
            <w:top w:val="none" w:sz="0" w:space="0" w:color="auto"/>
            <w:left w:val="none" w:sz="0" w:space="0" w:color="auto"/>
            <w:bottom w:val="none" w:sz="0" w:space="0" w:color="auto"/>
            <w:right w:val="none" w:sz="0" w:space="0" w:color="auto"/>
          </w:divBdr>
          <w:divsChild>
            <w:div w:id="18637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7876">
      <w:bodyDiv w:val="1"/>
      <w:marLeft w:val="0"/>
      <w:marRight w:val="0"/>
      <w:marTop w:val="0"/>
      <w:marBottom w:val="0"/>
      <w:divBdr>
        <w:top w:val="none" w:sz="0" w:space="0" w:color="auto"/>
        <w:left w:val="none" w:sz="0" w:space="0" w:color="auto"/>
        <w:bottom w:val="none" w:sz="0" w:space="0" w:color="auto"/>
        <w:right w:val="none" w:sz="0" w:space="0" w:color="auto"/>
      </w:divBdr>
      <w:divsChild>
        <w:div w:id="1599484934">
          <w:marLeft w:val="0"/>
          <w:marRight w:val="0"/>
          <w:marTop w:val="0"/>
          <w:marBottom w:val="0"/>
          <w:divBdr>
            <w:top w:val="none" w:sz="0" w:space="0" w:color="auto"/>
            <w:left w:val="none" w:sz="0" w:space="0" w:color="auto"/>
            <w:bottom w:val="none" w:sz="0" w:space="0" w:color="auto"/>
            <w:right w:val="none" w:sz="0" w:space="0" w:color="auto"/>
          </w:divBdr>
          <w:divsChild>
            <w:div w:id="1653827040">
              <w:marLeft w:val="0"/>
              <w:marRight w:val="0"/>
              <w:marTop w:val="0"/>
              <w:marBottom w:val="0"/>
              <w:divBdr>
                <w:top w:val="single" w:sz="4" w:space="0" w:color="000000"/>
                <w:left w:val="none" w:sz="0" w:space="0" w:color="auto"/>
                <w:bottom w:val="none" w:sz="0" w:space="0" w:color="auto"/>
                <w:right w:val="none" w:sz="0" w:space="0" w:color="auto"/>
              </w:divBdr>
              <w:divsChild>
                <w:div w:id="911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195">
      <w:bodyDiv w:val="1"/>
      <w:marLeft w:val="0"/>
      <w:marRight w:val="0"/>
      <w:marTop w:val="0"/>
      <w:marBottom w:val="0"/>
      <w:divBdr>
        <w:top w:val="none" w:sz="0" w:space="0" w:color="auto"/>
        <w:left w:val="none" w:sz="0" w:space="0" w:color="auto"/>
        <w:bottom w:val="none" w:sz="0" w:space="0" w:color="auto"/>
        <w:right w:val="none" w:sz="0" w:space="0" w:color="auto"/>
      </w:divBdr>
      <w:divsChild>
        <w:div w:id="1246377300">
          <w:marLeft w:val="0"/>
          <w:marRight w:val="0"/>
          <w:marTop w:val="0"/>
          <w:marBottom w:val="0"/>
          <w:divBdr>
            <w:top w:val="none" w:sz="0" w:space="0" w:color="auto"/>
            <w:left w:val="none" w:sz="0" w:space="0" w:color="auto"/>
            <w:bottom w:val="none" w:sz="0" w:space="0" w:color="auto"/>
            <w:right w:val="none" w:sz="0" w:space="0" w:color="auto"/>
          </w:divBdr>
          <w:divsChild>
            <w:div w:id="1005667128">
              <w:marLeft w:val="0"/>
              <w:marRight w:val="0"/>
              <w:marTop w:val="0"/>
              <w:marBottom w:val="0"/>
              <w:divBdr>
                <w:top w:val="none" w:sz="0" w:space="0" w:color="auto"/>
                <w:left w:val="none" w:sz="0" w:space="0" w:color="auto"/>
                <w:bottom w:val="none" w:sz="0" w:space="0" w:color="auto"/>
                <w:right w:val="none" w:sz="0" w:space="0" w:color="auto"/>
              </w:divBdr>
              <w:divsChild>
                <w:div w:id="20117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150">
      <w:bodyDiv w:val="1"/>
      <w:marLeft w:val="0"/>
      <w:marRight w:val="0"/>
      <w:marTop w:val="0"/>
      <w:marBottom w:val="0"/>
      <w:divBdr>
        <w:top w:val="none" w:sz="0" w:space="0" w:color="auto"/>
        <w:left w:val="none" w:sz="0" w:space="0" w:color="auto"/>
        <w:bottom w:val="none" w:sz="0" w:space="0" w:color="auto"/>
        <w:right w:val="none" w:sz="0" w:space="0" w:color="auto"/>
      </w:divBdr>
      <w:divsChild>
        <w:div w:id="257906060">
          <w:marLeft w:val="0"/>
          <w:marRight w:val="0"/>
          <w:marTop w:val="0"/>
          <w:marBottom w:val="0"/>
          <w:divBdr>
            <w:top w:val="none" w:sz="0" w:space="0" w:color="auto"/>
            <w:left w:val="none" w:sz="0" w:space="0" w:color="auto"/>
            <w:bottom w:val="none" w:sz="0" w:space="0" w:color="auto"/>
            <w:right w:val="none" w:sz="0" w:space="0" w:color="auto"/>
          </w:divBdr>
          <w:divsChild>
            <w:div w:id="243346609">
              <w:marLeft w:val="0"/>
              <w:marRight w:val="0"/>
              <w:marTop w:val="0"/>
              <w:marBottom w:val="0"/>
              <w:divBdr>
                <w:top w:val="single" w:sz="12" w:space="0" w:color="000000"/>
                <w:left w:val="none" w:sz="0" w:space="0" w:color="auto"/>
                <w:bottom w:val="none" w:sz="0" w:space="0" w:color="auto"/>
                <w:right w:val="none" w:sz="0" w:space="0" w:color="auto"/>
              </w:divBdr>
              <w:divsChild>
                <w:div w:id="21169894">
                  <w:marLeft w:val="0"/>
                  <w:marRight w:val="0"/>
                  <w:marTop w:val="192"/>
                  <w:marBottom w:val="0"/>
                  <w:divBdr>
                    <w:top w:val="none" w:sz="0" w:space="0" w:color="auto"/>
                    <w:left w:val="none" w:sz="0" w:space="0" w:color="auto"/>
                    <w:bottom w:val="none" w:sz="0" w:space="0" w:color="auto"/>
                    <w:right w:val="none" w:sz="0" w:space="0" w:color="auto"/>
                  </w:divBdr>
                </w:div>
                <w:div w:id="188296189">
                  <w:marLeft w:val="0"/>
                  <w:marRight w:val="0"/>
                  <w:marTop w:val="192"/>
                  <w:marBottom w:val="0"/>
                  <w:divBdr>
                    <w:top w:val="none" w:sz="0" w:space="0" w:color="auto"/>
                    <w:left w:val="none" w:sz="0" w:space="0" w:color="auto"/>
                    <w:bottom w:val="none" w:sz="0" w:space="0" w:color="auto"/>
                    <w:right w:val="none" w:sz="0" w:space="0" w:color="auto"/>
                  </w:divBdr>
                </w:div>
                <w:div w:id="330989435">
                  <w:marLeft w:val="0"/>
                  <w:marRight w:val="0"/>
                  <w:marTop w:val="192"/>
                  <w:marBottom w:val="0"/>
                  <w:divBdr>
                    <w:top w:val="none" w:sz="0" w:space="0" w:color="auto"/>
                    <w:left w:val="none" w:sz="0" w:space="0" w:color="auto"/>
                    <w:bottom w:val="none" w:sz="0" w:space="0" w:color="auto"/>
                    <w:right w:val="none" w:sz="0" w:space="0" w:color="auto"/>
                  </w:divBdr>
                </w:div>
                <w:div w:id="991298457">
                  <w:marLeft w:val="0"/>
                  <w:marRight w:val="0"/>
                  <w:marTop w:val="192"/>
                  <w:marBottom w:val="0"/>
                  <w:divBdr>
                    <w:top w:val="none" w:sz="0" w:space="0" w:color="auto"/>
                    <w:left w:val="none" w:sz="0" w:space="0" w:color="auto"/>
                    <w:bottom w:val="none" w:sz="0" w:space="0" w:color="auto"/>
                    <w:right w:val="none" w:sz="0" w:space="0" w:color="auto"/>
                  </w:divBdr>
                </w:div>
                <w:div w:id="12191221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nlii.org/images/reflex_small.gif" TargetMode="External"/><Relationship Id="rId3" Type="http://schemas.openxmlformats.org/officeDocument/2006/relationships/settings" Target="settings.xml"/><Relationship Id="rId7" Type="http://schemas.openxmlformats.org/officeDocument/2006/relationships/image" Target="http://www.canlii.org/images/reflex_smal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nlii.org/en/ca/fct/doc/2003/2003fc1403/2003fc140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17715</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TAKING IT ALL AWAY – TRAPS SET FOR DEBTORS TRYING TO DODGE THE TAXMAN</vt:lpstr>
    </vt:vector>
  </TitlesOfParts>
  <Company>Dickson Murray</Company>
  <LinksUpToDate>false</LinksUpToDate>
  <CharactersWithSpaces>21011</CharactersWithSpaces>
  <SharedDoc>false</SharedDoc>
  <HLinks>
    <vt:vector size="66" baseType="variant">
      <vt:variant>
        <vt:i4>3342384</vt:i4>
      </vt:variant>
      <vt:variant>
        <vt:i4>33</vt:i4>
      </vt:variant>
      <vt:variant>
        <vt:i4>0</vt:i4>
      </vt:variant>
      <vt:variant>
        <vt:i4>5</vt:i4>
      </vt:variant>
      <vt:variant>
        <vt:lpwstr>http://www.canlii.org/en/reflex/30697.html</vt:lpwstr>
      </vt:variant>
      <vt:variant>
        <vt:lpwstr/>
      </vt:variant>
      <vt:variant>
        <vt:i4>983118</vt:i4>
      </vt:variant>
      <vt:variant>
        <vt:i4>30</vt:i4>
      </vt:variant>
      <vt:variant>
        <vt:i4>0</vt:i4>
      </vt:variant>
      <vt:variant>
        <vt:i4>5</vt:i4>
      </vt:variant>
      <vt:variant>
        <vt:lpwstr>http://www.canlii.org/en/ab/abqb/doc/1993/1993canlii3422/1993canlii3422.html</vt:lpwstr>
      </vt:variant>
      <vt:variant>
        <vt:lpwstr/>
      </vt:variant>
      <vt:variant>
        <vt:i4>4128823</vt:i4>
      </vt:variant>
      <vt:variant>
        <vt:i4>24</vt:i4>
      </vt:variant>
      <vt:variant>
        <vt:i4>0</vt:i4>
      </vt:variant>
      <vt:variant>
        <vt:i4>5</vt:i4>
      </vt:variant>
      <vt:variant>
        <vt:lpwstr>http://www.canlii.org/en/reflex/83964.html</vt:lpwstr>
      </vt:variant>
      <vt:variant>
        <vt:lpwstr/>
      </vt:variant>
      <vt:variant>
        <vt:i4>458837</vt:i4>
      </vt:variant>
      <vt:variant>
        <vt:i4>21</vt:i4>
      </vt:variant>
      <vt:variant>
        <vt:i4>0</vt:i4>
      </vt:variant>
      <vt:variant>
        <vt:i4>5</vt:i4>
      </vt:variant>
      <vt:variant>
        <vt:lpwstr>http://www.canlii.org/en/bc/bcca/doc/1991/1991canlii1519/1991canlii1519.html</vt:lpwstr>
      </vt:variant>
      <vt:variant>
        <vt:lpwstr/>
      </vt:variant>
      <vt:variant>
        <vt:i4>71</vt:i4>
      </vt:variant>
      <vt:variant>
        <vt:i4>18</vt:i4>
      </vt:variant>
      <vt:variant>
        <vt:i4>0</vt:i4>
      </vt:variant>
      <vt:variant>
        <vt:i4>5</vt:i4>
      </vt:variant>
      <vt:variant>
        <vt:lpwstr>http://www.canlii.org/en/on/onsc/doc/1996/1996canlii8273/1996canlii8273.html</vt:lpwstr>
      </vt:variant>
      <vt:variant>
        <vt:lpwstr/>
      </vt:variant>
      <vt:variant>
        <vt:i4>7340092</vt:i4>
      </vt:variant>
      <vt:variant>
        <vt:i4>15</vt:i4>
      </vt:variant>
      <vt:variant>
        <vt:i4>0</vt:i4>
      </vt:variant>
      <vt:variant>
        <vt:i4>5</vt:i4>
      </vt:variant>
      <vt:variant>
        <vt:lpwstr>http://www.canlii.org/en/ca/scc/doc/2003/2003scc9/2003scc9.html</vt:lpwstr>
      </vt:variant>
      <vt:variant>
        <vt:lpwstr/>
      </vt:variant>
      <vt:variant>
        <vt:i4>3735671</vt:i4>
      </vt:variant>
      <vt:variant>
        <vt:i4>12</vt:i4>
      </vt:variant>
      <vt:variant>
        <vt:i4>0</vt:i4>
      </vt:variant>
      <vt:variant>
        <vt:i4>5</vt:i4>
      </vt:variant>
      <vt:variant>
        <vt:lpwstr>http://www.canlii.org/en/ca/fct/doc/2003/2003fc1403/2003fc1403.html</vt:lpwstr>
      </vt:variant>
      <vt:variant>
        <vt:lpwstr/>
      </vt:variant>
      <vt:variant>
        <vt:i4>3735671</vt:i4>
      </vt:variant>
      <vt:variant>
        <vt:i4>9</vt:i4>
      </vt:variant>
      <vt:variant>
        <vt:i4>0</vt:i4>
      </vt:variant>
      <vt:variant>
        <vt:i4>5</vt:i4>
      </vt:variant>
      <vt:variant>
        <vt:lpwstr>http://www.canlii.org/en/ca/fct/doc/2003/2003fc1403/2003fc1403.html</vt:lpwstr>
      </vt:variant>
      <vt:variant>
        <vt:lpwstr/>
      </vt:variant>
      <vt:variant>
        <vt:i4>3276910</vt:i4>
      </vt:variant>
      <vt:variant>
        <vt:i4>6</vt:i4>
      </vt:variant>
      <vt:variant>
        <vt:i4>0</vt:i4>
      </vt:variant>
      <vt:variant>
        <vt:i4>5</vt:i4>
      </vt:variant>
      <vt:variant>
        <vt:lpwstr>http://www.canlii.org/en/ca/fca/doc/1997/1997canlii6352/1997canlii6352.html</vt:lpwstr>
      </vt:variant>
      <vt:variant>
        <vt:lpwstr/>
      </vt:variant>
      <vt:variant>
        <vt:i4>7012400</vt:i4>
      </vt:variant>
      <vt:variant>
        <vt:i4>3</vt:i4>
      </vt:variant>
      <vt:variant>
        <vt:i4>0</vt:i4>
      </vt:variant>
      <vt:variant>
        <vt:i4>5</vt:i4>
      </vt:variant>
      <vt:variant>
        <vt:lpwstr>http://www.canlii.org/en/ca/fca/doc/2003/2003fca423/2003fca423.html</vt:lpwstr>
      </vt:variant>
      <vt:variant>
        <vt:lpwstr/>
      </vt:variant>
      <vt:variant>
        <vt:i4>1376335</vt:i4>
      </vt:variant>
      <vt:variant>
        <vt:i4>0</vt:i4>
      </vt:variant>
      <vt:variant>
        <vt:i4>0</vt:i4>
      </vt:variant>
      <vt:variant>
        <vt:i4>5</vt:i4>
      </vt:variant>
      <vt:variant>
        <vt:lpwstr>http://www.canlii.org/en/ca/fca/doc/2002/2002fca23/2002fca23.html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ALL AWAY – TRAPS SET FOR DEBTORS TRYING TO DODGE THE TAXMAN</dc:title>
  <dc:creator>Valerie</dc:creator>
  <cp:lastModifiedBy>Jay</cp:lastModifiedBy>
  <cp:revision>2</cp:revision>
  <dcterms:created xsi:type="dcterms:W3CDTF">2015-10-26T17:54:00Z</dcterms:created>
  <dcterms:modified xsi:type="dcterms:W3CDTF">2015-10-26T17:54:00Z</dcterms:modified>
</cp:coreProperties>
</file>