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30" w:rsidRDefault="00C30730"/>
    <w:p w:rsidR="0050397F" w:rsidRDefault="0050397F"/>
    <w:p w:rsidR="0050397F" w:rsidRDefault="0050397F"/>
    <w:p w:rsidR="0050397F" w:rsidRDefault="0050397F"/>
    <w:p w:rsidR="0050397F" w:rsidRDefault="0050397F" w:rsidP="0050397F">
      <w:pPr>
        <w:jc w:val="center"/>
        <w:rPr>
          <w:b/>
        </w:rPr>
      </w:pPr>
      <w:r>
        <w:rPr>
          <w:b/>
        </w:rPr>
        <w:t>CAIRP 201</w:t>
      </w:r>
      <w:r w:rsidR="00F834E4">
        <w:rPr>
          <w:b/>
        </w:rPr>
        <w:t>1</w:t>
      </w:r>
      <w:r>
        <w:rPr>
          <w:b/>
        </w:rPr>
        <w:t xml:space="preserve"> PERSONAL INSOLVENCY UPDATE</w:t>
      </w: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pPr>
      <w:r>
        <w:t>Prepared by</w:t>
      </w:r>
    </w:p>
    <w:p w:rsidR="0050397F" w:rsidRDefault="0050397F" w:rsidP="0050397F">
      <w:pPr>
        <w:jc w:val="center"/>
      </w:pPr>
    </w:p>
    <w:p w:rsidR="0050397F" w:rsidRDefault="0050397F" w:rsidP="0050397F">
      <w:pPr>
        <w:jc w:val="center"/>
        <w:rPr>
          <w:b/>
        </w:rPr>
      </w:pPr>
      <w:smartTag w:uri="urn:schemas-microsoft-com:office:smarttags" w:element="place">
        <w:smartTag w:uri="urn:schemas-microsoft-com:office:smarttags" w:element="City">
          <w:r>
            <w:rPr>
              <w:b/>
            </w:rPr>
            <w:t>Murray</w:t>
          </w:r>
        </w:smartTag>
      </w:smartTag>
      <w:r>
        <w:rPr>
          <w:b/>
        </w:rPr>
        <w:t xml:space="preserve"> Jamieson</w:t>
      </w:r>
    </w:p>
    <w:p w:rsidR="0050397F" w:rsidRDefault="0050397F" w:rsidP="0050397F">
      <w:pPr>
        <w:jc w:val="center"/>
      </w:pPr>
      <w:r>
        <w:t>Katherine Wellburn</w:t>
      </w:r>
    </w:p>
    <w:p w:rsidR="00711028" w:rsidRDefault="00711028" w:rsidP="0050397F">
      <w:pPr>
        <w:jc w:val="center"/>
      </w:pPr>
    </w:p>
    <w:p w:rsidR="00711028" w:rsidRDefault="00711028" w:rsidP="0050397F">
      <w:pPr>
        <w:jc w:val="center"/>
      </w:pPr>
      <w:proofErr w:type="gramStart"/>
      <w:r>
        <w:t>and</w:t>
      </w:r>
      <w:proofErr w:type="gramEnd"/>
      <w:r>
        <w:t xml:space="preserve"> </w:t>
      </w:r>
    </w:p>
    <w:p w:rsidR="00711028" w:rsidRDefault="00711028" w:rsidP="0050397F">
      <w:pPr>
        <w:jc w:val="center"/>
      </w:pPr>
    </w:p>
    <w:p w:rsidR="00711028" w:rsidRDefault="00711028" w:rsidP="0050397F">
      <w:pPr>
        <w:jc w:val="center"/>
        <w:rPr>
          <w:b/>
        </w:rPr>
      </w:pPr>
      <w:r>
        <w:rPr>
          <w:b/>
        </w:rPr>
        <w:t>Meyers Norris Penney</w:t>
      </w:r>
    </w:p>
    <w:p w:rsidR="00711028" w:rsidRPr="00711028" w:rsidRDefault="00711028" w:rsidP="0050397F">
      <w:pPr>
        <w:jc w:val="center"/>
      </w:pPr>
      <w:r>
        <w:t>Lana Gilbertson</w:t>
      </w:r>
    </w:p>
    <w:p w:rsidR="0050397F" w:rsidRDefault="0050397F" w:rsidP="0050397F">
      <w:pPr>
        <w:jc w:val="center"/>
      </w:pPr>
    </w:p>
    <w:p w:rsidR="0050397F" w:rsidRDefault="0050397F" w:rsidP="0050397F">
      <w:pPr>
        <w:jc w:val="center"/>
      </w:pPr>
    </w:p>
    <w:p w:rsidR="0050397F" w:rsidRDefault="0050397F" w:rsidP="0050397F">
      <w:pPr>
        <w:jc w:val="center"/>
      </w:pPr>
    </w:p>
    <w:p w:rsidR="0050397F" w:rsidRDefault="0050397F" w:rsidP="0050397F">
      <w:pPr>
        <w:jc w:val="center"/>
        <w:rPr>
          <w:i/>
        </w:rPr>
      </w:pPr>
      <w:r>
        <w:rPr>
          <w:i/>
        </w:rPr>
        <w:t>Prepared for the</w:t>
      </w:r>
    </w:p>
    <w:p w:rsidR="0050397F" w:rsidRDefault="0050397F" w:rsidP="0050397F">
      <w:pPr>
        <w:jc w:val="center"/>
        <w:rPr>
          <w:i/>
        </w:rPr>
      </w:pPr>
      <w:r>
        <w:rPr>
          <w:i/>
        </w:rPr>
        <w:t>Canadian Association of Insolvency and Restructuring Professionals</w:t>
      </w:r>
    </w:p>
    <w:p w:rsidR="0050397F" w:rsidRDefault="0050397F" w:rsidP="0050397F">
      <w:pPr>
        <w:jc w:val="center"/>
        <w:rPr>
          <w:i/>
        </w:rPr>
      </w:pPr>
      <w:r>
        <w:rPr>
          <w:i/>
        </w:rPr>
        <w:t>May 201</w:t>
      </w:r>
      <w:r w:rsidR="00F834E4">
        <w:rPr>
          <w:i/>
        </w:rPr>
        <w:t>1</w:t>
      </w: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r>
        <w:rPr>
          <w:i/>
        </w:rPr>
        <w:t>These materials may not be reproduced in whole or in part without the written consent of the Canadian Association of Insolvency and Restructuring Professionals and of the authors of the articles contained herein.  These materials should not be construed as legal advice or opinions.</w:t>
      </w:r>
    </w:p>
    <w:p w:rsidR="0050397F" w:rsidRDefault="0050397F" w:rsidP="0050397F">
      <w:pPr>
        <w:jc w:val="center"/>
      </w:pPr>
      <w:r>
        <w:br w:type="page"/>
      </w:r>
    </w:p>
    <w:p w:rsidR="00F9486A" w:rsidRDefault="00F9486A" w:rsidP="0050397F">
      <w:pPr>
        <w:jc w:val="center"/>
      </w:pPr>
    </w:p>
    <w:p w:rsidR="00F9486A" w:rsidRDefault="00F9486A" w:rsidP="0050397F">
      <w:pPr>
        <w:jc w:val="center"/>
        <w:rPr>
          <w:b/>
        </w:rPr>
      </w:pPr>
    </w:p>
    <w:p w:rsidR="0050397F" w:rsidRDefault="0050397F" w:rsidP="0050397F">
      <w:pPr>
        <w:jc w:val="center"/>
      </w:pPr>
      <w:r>
        <w:rPr>
          <w:b/>
        </w:rPr>
        <w:t>CAIRP 201</w:t>
      </w:r>
      <w:r w:rsidR="00F834E4">
        <w:rPr>
          <w:b/>
        </w:rPr>
        <w:t>1</w:t>
      </w:r>
      <w:r>
        <w:rPr>
          <w:b/>
        </w:rPr>
        <w:t xml:space="preserve"> PERSONAL INSOLVENCY UPDATE</w:t>
      </w:r>
    </w:p>
    <w:p w:rsidR="0050397F" w:rsidRDefault="0050397F" w:rsidP="0050397F"/>
    <w:p w:rsidR="0050397F" w:rsidRDefault="00F834E4" w:rsidP="0050397F">
      <w:r>
        <w:rPr>
          <w:b/>
          <w:u w:val="single"/>
        </w:rPr>
        <w:t>Discharge of Deceased Bankrupt</w:t>
      </w:r>
    </w:p>
    <w:p w:rsidR="00F834E4" w:rsidRDefault="00F834E4" w:rsidP="0050397F"/>
    <w:p w:rsidR="00F834E4" w:rsidRDefault="00F834E4" w:rsidP="0050397F">
      <w:r>
        <w:rPr>
          <w:i/>
        </w:rPr>
        <w:t xml:space="preserve">Re Simoes </w:t>
      </w:r>
      <w:r>
        <w:t>2011 BCSC 63 (</w:t>
      </w:r>
      <w:r w:rsidR="00301360">
        <w:t xml:space="preserve">B.C.S.C. </w:t>
      </w:r>
      <w:r>
        <w:t>Registrar Sainty)</w:t>
      </w:r>
    </w:p>
    <w:p w:rsidR="00F834E4" w:rsidRDefault="00F834E4" w:rsidP="0050397F"/>
    <w:p w:rsidR="00F834E4" w:rsidRPr="00F834E4" w:rsidRDefault="00F834E4" w:rsidP="0050397F">
      <w:r>
        <w:t xml:space="preserve">Four cases were heard together for </w:t>
      </w:r>
      <w:r w:rsidR="00050831">
        <w:t xml:space="preserve">the </w:t>
      </w:r>
      <w:r>
        <w:t>discharge of deceased bankrupts who had not complied with all of their duties.  Each case was decided on its own facts</w:t>
      </w:r>
      <w:r w:rsidR="00301360">
        <w:t xml:space="preserve">. </w:t>
      </w:r>
      <w:r w:rsidR="00972438">
        <w:t xml:space="preserve">Three of the deceased bankrupts had complied with all of their duties except their second counselling.  They were granted absolute discharges.  The discharge of the fourth deceased bankrupt was suspended for one week because he had failed to submit budgets, attend the second counselling and had not made payments as agreed at the time of his assignment. </w:t>
      </w:r>
    </w:p>
    <w:p w:rsidR="00301360" w:rsidRDefault="00301360" w:rsidP="00301360">
      <w:pPr>
        <w:rPr>
          <w:b/>
          <w:u w:val="single"/>
        </w:rPr>
      </w:pPr>
    </w:p>
    <w:p w:rsidR="00301360" w:rsidRDefault="00301360" w:rsidP="00301360">
      <w:pPr>
        <w:rPr>
          <w:b/>
          <w:u w:val="single"/>
        </w:rPr>
      </w:pPr>
      <w:r>
        <w:rPr>
          <w:b/>
          <w:u w:val="single"/>
        </w:rPr>
        <w:t>Discharge of Bankrupt</w:t>
      </w:r>
    </w:p>
    <w:p w:rsidR="00301360" w:rsidRDefault="00301360" w:rsidP="00301360">
      <w:pPr>
        <w:rPr>
          <w:b/>
          <w:u w:val="single"/>
        </w:rPr>
      </w:pPr>
    </w:p>
    <w:p w:rsidR="00301360" w:rsidRDefault="00301360" w:rsidP="00301360">
      <w:r>
        <w:rPr>
          <w:i/>
        </w:rPr>
        <w:t xml:space="preserve">Re Rochon </w:t>
      </w:r>
      <w:r>
        <w:t>2010 BCSC 818 (B.C.S.C. Master McCallum)</w:t>
      </w:r>
    </w:p>
    <w:p w:rsidR="00301360" w:rsidRDefault="00301360" w:rsidP="00301360"/>
    <w:p w:rsidR="00000112" w:rsidRDefault="00924763" w:rsidP="00301360">
      <w:r>
        <w:t xml:space="preserve">At </w:t>
      </w:r>
      <w:r w:rsidR="00050831">
        <w:t xml:space="preserve">the </w:t>
      </w:r>
      <w:r>
        <w:t xml:space="preserve">time of </w:t>
      </w:r>
      <w:r w:rsidR="00050831">
        <w:t xml:space="preserve">his </w:t>
      </w:r>
      <w:r>
        <w:t xml:space="preserve">assignment, </w:t>
      </w:r>
      <w:r w:rsidR="00050831">
        <w:t xml:space="preserve">the </w:t>
      </w:r>
      <w:r>
        <w:t xml:space="preserve">Bankrupt was advised by </w:t>
      </w:r>
      <w:r w:rsidR="00050831">
        <w:t xml:space="preserve">the </w:t>
      </w:r>
      <w:r>
        <w:t>Trustee that he could include in his non-discretionary expenses</w:t>
      </w:r>
      <w:r w:rsidR="00972438">
        <w:t>,</w:t>
      </w:r>
      <w:r>
        <w:t xml:space="preserve"> money that he was paying directly to his 19 year old daughter.  However, at the time of discharge</w:t>
      </w:r>
      <w:r w:rsidR="00050831">
        <w:t>,</w:t>
      </w:r>
      <w:r>
        <w:t xml:space="preserve"> the Trustee’s section 170 report stated that the Bankrupt owed additional </w:t>
      </w:r>
      <w:r w:rsidR="00972438">
        <w:t xml:space="preserve">excess </w:t>
      </w:r>
      <w:r>
        <w:t xml:space="preserve">income because the payments to the daughter were not allowed as non-discretionary expenses.  </w:t>
      </w:r>
      <w:r w:rsidR="0044545E">
        <w:t>If the Bankrupt had known of the Trustee’s current position</w:t>
      </w:r>
      <w:r w:rsidR="00972438">
        <w:t xml:space="preserve"> previously,</w:t>
      </w:r>
      <w:r w:rsidR="0044545E">
        <w:t xml:space="preserve"> the Bankrupt could have asked for mediation as to surplus income or taken steps to vary the child support order.  </w:t>
      </w:r>
      <w:r w:rsidR="00050831">
        <w:t>The Court found that t</w:t>
      </w:r>
      <w:r w:rsidR="0044545E">
        <w:t xml:space="preserve">he Bankrupt </w:t>
      </w:r>
      <w:r w:rsidR="00000112">
        <w:t xml:space="preserve">had done everything he could and should have done to comply with the Trustee and surplus income standards.  He </w:t>
      </w:r>
      <w:r w:rsidR="0044545E">
        <w:t xml:space="preserve">was discharged on condition that he </w:t>
      </w:r>
      <w:proofErr w:type="gramStart"/>
      <w:r w:rsidR="0044545E">
        <w:t>ma</w:t>
      </w:r>
      <w:r w:rsidR="00972438">
        <w:t>k</w:t>
      </w:r>
      <w:r w:rsidR="0044545E">
        <w:t>e</w:t>
      </w:r>
      <w:proofErr w:type="gramEnd"/>
      <w:r w:rsidR="0044545E">
        <w:t xml:space="preserve"> the payments agreed at the time of his assignment. </w:t>
      </w:r>
    </w:p>
    <w:p w:rsidR="00494F67" w:rsidRDefault="00494F67" w:rsidP="00301360">
      <w:pPr>
        <w:rPr>
          <w:i/>
        </w:rPr>
      </w:pPr>
    </w:p>
    <w:p w:rsidR="002928B4" w:rsidRDefault="00494F67" w:rsidP="00301360">
      <w:r>
        <w:rPr>
          <w:i/>
        </w:rPr>
        <w:t xml:space="preserve">Osatchoff v Pinder Bueckert &amp; Associates Inc. </w:t>
      </w:r>
      <w:r>
        <w:t>2010 SKQB 171 (Sask</w:t>
      </w:r>
      <w:r w:rsidR="002928B4">
        <w:t>. Q.B. Registrar Schwann)</w:t>
      </w:r>
    </w:p>
    <w:p w:rsidR="002928B4" w:rsidRDefault="002928B4" w:rsidP="00301360"/>
    <w:p w:rsidR="001931D1" w:rsidRDefault="006F3862" w:rsidP="00301360">
      <w:r>
        <w:t xml:space="preserve">33 years prior to bankruptcy, </w:t>
      </w:r>
      <w:r w:rsidR="00972438">
        <w:t xml:space="preserve">a </w:t>
      </w:r>
      <w:r w:rsidR="002928B4">
        <w:t xml:space="preserve">Creditor had suffered serious injuries as a result of being struck by </w:t>
      </w:r>
      <w:r w:rsidR="00050831">
        <w:t xml:space="preserve">a </w:t>
      </w:r>
      <w:r w:rsidR="002928B4">
        <w:t xml:space="preserve">car driven by </w:t>
      </w:r>
      <w:r w:rsidR="00050831">
        <w:t xml:space="preserve">the </w:t>
      </w:r>
      <w:r w:rsidR="002928B4">
        <w:t xml:space="preserve">Bankrupt when he was drunk. </w:t>
      </w:r>
      <w:r w:rsidR="00050831">
        <w:t xml:space="preserve"> The </w:t>
      </w:r>
      <w:r w:rsidR="002928B4">
        <w:t xml:space="preserve">Bankrupt was convicted of dangerous driving and </w:t>
      </w:r>
      <w:r w:rsidR="00050831">
        <w:t xml:space="preserve">the </w:t>
      </w:r>
      <w:r w:rsidR="002928B4">
        <w:t xml:space="preserve">Creditor obtained </w:t>
      </w:r>
      <w:r w:rsidR="00050831">
        <w:t xml:space="preserve">a </w:t>
      </w:r>
      <w:r w:rsidR="002928B4">
        <w:t xml:space="preserve">civil judgment of $75,000. </w:t>
      </w:r>
      <w:r w:rsidR="00050831">
        <w:t xml:space="preserve"> </w:t>
      </w:r>
      <w:r w:rsidR="002928B4">
        <w:t xml:space="preserve">Only $35,000 was paid by an insurer and </w:t>
      </w:r>
      <w:r w:rsidR="00050831">
        <w:t xml:space="preserve">the </w:t>
      </w:r>
      <w:r w:rsidR="002928B4">
        <w:t>bankrupt had paid only $100</w:t>
      </w:r>
      <w:r w:rsidR="00050831">
        <w:t>,</w:t>
      </w:r>
      <w:r w:rsidR="002928B4">
        <w:t xml:space="preserve"> </w:t>
      </w:r>
      <w:r>
        <w:t>so</w:t>
      </w:r>
      <w:r w:rsidR="009D57ED">
        <w:t>,</w:t>
      </w:r>
      <w:r>
        <w:t xml:space="preserve"> with interest</w:t>
      </w:r>
      <w:r w:rsidR="009D57ED">
        <w:t>,</w:t>
      </w:r>
      <w:r>
        <w:t xml:space="preserve"> </w:t>
      </w:r>
      <w:proofErr w:type="gramStart"/>
      <w:r>
        <w:t>amount</w:t>
      </w:r>
      <w:proofErr w:type="gramEnd"/>
      <w:r>
        <w:t xml:space="preserve"> owing was $133,000.  </w:t>
      </w:r>
      <w:r w:rsidR="00050831">
        <w:t xml:space="preserve">The </w:t>
      </w:r>
      <w:r>
        <w:t xml:space="preserve">Bankrupt suffered from mental heath disorders, was on government disability pension and had little prospect of future employment.  The </w:t>
      </w:r>
      <w:r w:rsidR="00050831">
        <w:t>T</w:t>
      </w:r>
      <w:r>
        <w:t xml:space="preserve">rustee </w:t>
      </w:r>
      <w:r w:rsidR="00050831">
        <w:t xml:space="preserve">initially </w:t>
      </w:r>
      <w:r>
        <w:t xml:space="preserve">recommended an absolute discharge </w:t>
      </w:r>
      <w:r w:rsidR="009D57ED">
        <w:t>but</w:t>
      </w:r>
      <w:r w:rsidR="00050831">
        <w:t xml:space="preserve"> at the hearing suggested a</w:t>
      </w:r>
      <w:r>
        <w:t xml:space="preserve"> suspension.  </w:t>
      </w:r>
      <w:r w:rsidR="00B816F7">
        <w:t xml:space="preserve">The Bankrupt was discharged conditional on </w:t>
      </w:r>
      <w:r w:rsidR="00D153C4">
        <w:t xml:space="preserve">him </w:t>
      </w:r>
      <w:r w:rsidR="00B816F7">
        <w:t>paying $50 per month for 3 years and assigning to the Trustee</w:t>
      </w:r>
      <w:r w:rsidR="00D153C4">
        <w:t xml:space="preserve"> </w:t>
      </w:r>
      <w:r w:rsidR="00B816F7">
        <w:t xml:space="preserve">20% of any inheritance he may receive following his absolute discharge up to a maximum </w:t>
      </w:r>
      <w:r w:rsidR="009D57ED">
        <w:t>of</w:t>
      </w:r>
      <w:r w:rsidR="00B816F7">
        <w:t xml:space="preserve"> $40,000.</w:t>
      </w:r>
    </w:p>
    <w:p w:rsidR="00DB3021" w:rsidRDefault="00DB3021" w:rsidP="00301360"/>
    <w:p w:rsidR="00DB3021" w:rsidRDefault="00DB3021" w:rsidP="00301360">
      <w:proofErr w:type="gramStart"/>
      <w:r>
        <w:rPr>
          <w:i/>
        </w:rPr>
        <w:t xml:space="preserve">Re Goldstein 2011 </w:t>
      </w:r>
      <w:r w:rsidRPr="00DB3021">
        <w:t xml:space="preserve">ONSC 561 </w:t>
      </w:r>
      <w:r>
        <w:t>(Ont. S.C.J. Morawetz J.)</w:t>
      </w:r>
      <w:proofErr w:type="gramEnd"/>
    </w:p>
    <w:p w:rsidR="00DB3021" w:rsidRDefault="00DB3021" w:rsidP="00301360"/>
    <w:p w:rsidR="00DB3021" w:rsidRPr="00DB3021" w:rsidRDefault="00D153C4" w:rsidP="00301360">
      <w:r>
        <w:t xml:space="preserve">The </w:t>
      </w:r>
      <w:r w:rsidR="00DB3021">
        <w:t xml:space="preserve">Law Society </w:t>
      </w:r>
      <w:r>
        <w:t xml:space="preserve">of Upper Canada </w:t>
      </w:r>
      <w:r w:rsidR="00DB3021">
        <w:t xml:space="preserve">revoked a lawyer’s license and ordered him to pay costs of $60,000 because he had obtained mortgages through fraud and false pretences.  </w:t>
      </w:r>
      <w:r>
        <w:t xml:space="preserve">The </w:t>
      </w:r>
      <w:r w:rsidR="00DB3021">
        <w:t xml:space="preserve">Law Society’s application that </w:t>
      </w:r>
      <w:proofErr w:type="gramStart"/>
      <w:r>
        <w:t xml:space="preserve">its </w:t>
      </w:r>
      <w:r w:rsidR="00DB3021">
        <w:t>costs award survive</w:t>
      </w:r>
      <w:proofErr w:type="gramEnd"/>
      <w:r w:rsidR="00DB3021">
        <w:t xml:space="preserve"> bankruptcy was dismissed because </w:t>
      </w:r>
      <w:r>
        <w:t xml:space="preserve">the costs </w:t>
      </w:r>
      <w:r w:rsidR="00DB3021">
        <w:t xml:space="preserve">award did not arise out of fraud on </w:t>
      </w:r>
      <w:r>
        <w:t xml:space="preserve">the </w:t>
      </w:r>
      <w:r w:rsidR="00DB3021">
        <w:t xml:space="preserve">Law Society.  </w:t>
      </w:r>
      <w:r>
        <w:t xml:space="preserve">The </w:t>
      </w:r>
      <w:r w:rsidR="00DB3021">
        <w:t>Bankrupt could</w:t>
      </w:r>
      <w:r w:rsidR="009D57ED">
        <w:t xml:space="preserve"> be </w:t>
      </w:r>
      <w:r w:rsidR="00DB3021">
        <w:t xml:space="preserve">held responsible for his own disbarment, inability to practice law </w:t>
      </w:r>
      <w:r>
        <w:t xml:space="preserve">and </w:t>
      </w:r>
      <w:r w:rsidR="00DB3021">
        <w:t>resulting bankruptcy.  Since he had no ability to pay</w:t>
      </w:r>
      <w:r>
        <w:t>,</w:t>
      </w:r>
      <w:r w:rsidR="00DB3021">
        <w:t xml:space="preserve"> his discharge was suspended for one year.</w:t>
      </w:r>
    </w:p>
    <w:p w:rsidR="00DB3021" w:rsidRPr="0033389A" w:rsidRDefault="00DB3021" w:rsidP="00DB3021"/>
    <w:p w:rsidR="00DB3021" w:rsidRDefault="00DB3021" w:rsidP="00DB3021">
      <w:pPr>
        <w:rPr>
          <w:b/>
          <w:u w:val="single"/>
        </w:rPr>
      </w:pPr>
      <w:r>
        <w:rPr>
          <w:b/>
          <w:u w:val="single"/>
        </w:rPr>
        <w:t>Claims surviving Bankruptcy</w:t>
      </w:r>
    </w:p>
    <w:p w:rsidR="00DB3021" w:rsidRDefault="00DB3021" w:rsidP="00DB3021">
      <w:pPr>
        <w:rPr>
          <w:b/>
          <w:u w:val="single"/>
        </w:rPr>
      </w:pPr>
    </w:p>
    <w:p w:rsidR="00DB3021" w:rsidRDefault="00DB3021" w:rsidP="00DB3021">
      <w:r>
        <w:rPr>
          <w:i/>
        </w:rPr>
        <w:t xml:space="preserve">Armstrong v Lang </w:t>
      </w:r>
      <w:r>
        <w:t>2011 BCCA 20 (B.C.C.A.)</w:t>
      </w:r>
    </w:p>
    <w:p w:rsidR="00DB3021" w:rsidRDefault="00DB3021" w:rsidP="00DB3021"/>
    <w:p w:rsidR="00DB3021" w:rsidRPr="005C0AE0" w:rsidRDefault="00DB3021" w:rsidP="00DB3021">
      <w:r>
        <w:t xml:space="preserve">The Court of Appeal found that a debt arising when the Bankrupt failed to pay a retroactive WCB award to the disability insurer who had provided her benefits during </w:t>
      </w:r>
      <w:r w:rsidR="00D153C4">
        <w:t xml:space="preserve">an overlapping </w:t>
      </w:r>
      <w:r>
        <w:t xml:space="preserve">period of time was a debt arising through misappropriation while the </w:t>
      </w:r>
      <w:r w:rsidR="00D153C4">
        <w:t>B</w:t>
      </w:r>
      <w:r>
        <w:t>ankrupt was acting in a fiduciary capacity.  The Court found that the Bankrupt held the funds in trust for the disability insurer when she received them and was acting in a fiduciary capacity because she had an obligation to pay the funds and the ability to put them out of reach of the insurer.</w:t>
      </w:r>
    </w:p>
    <w:p w:rsidR="00DB3021" w:rsidRDefault="00DB3021" w:rsidP="00301360"/>
    <w:p w:rsidR="001931D1" w:rsidRDefault="001931D1" w:rsidP="00301360">
      <w:pPr>
        <w:rPr>
          <w:i/>
        </w:rPr>
      </w:pPr>
      <w:r>
        <w:rPr>
          <w:b/>
          <w:u w:val="single"/>
        </w:rPr>
        <w:t>Trustee’s Fees</w:t>
      </w:r>
    </w:p>
    <w:p w:rsidR="001931D1" w:rsidRDefault="001931D1" w:rsidP="00301360">
      <w:pPr>
        <w:rPr>
          <w:i/>
        </w:rPr>
      </w:pPr>
    </w:p>
    <w:p w:rsidR="001931D1" w:rsidRDefault="001931D1" w:rsidP="00301360">
      <w:r>
        <w:rPr>
          <w:i/>
        </w:rPr>
        <w:t xml:space="preserve">Re Harms </w:t>
      </w:r>
      <w:r w:rsidR="004A47AE">
        <w:t xml:space="preserve">2011 </w:t>
      </w:r>
      <w:r>
        <w:t>BCSC 379 (B.C.S.C. Registrar Cameron)</w:t>
      </w:r>
    </w:p>
    <w:p w:rsidR="001931D1" w:rsidRDefault="001931D1" w:rsidP="00301360"/>
    <w:p w:rsidR="001931D1" w:rsidRDefault="001931D1" w:rsidP="00301360">
      <w:r>
        <w:t xml:space="preserve">A lawyer was appointed an inspector and requested an examination of </w:t>
      </w:r>
      <w:r w:rsidR="00D153C4">
        <w:t xml:space="preserve">the </w:t>
      </w:r>
      <w:r>
        <w:t xml:space="preserve">Bankrupt.  The Trustee recalled that the creditor was to pay for the examination to be conduced by the lawyer but there were no minutes recording this.  After two examinations of the Bankrupt the lawyer sent </w:t>
      </w:r>
      <w:r w:rsidR="00D153C4">
        <w:t xml:space="preserve">the Trustee </w:t>
      </w:r>
      <w:r>
        <w:t>a bill for over $22,000.</w:t>
      </w:r>
      <w:r w:rsidR="004A47AE">
        <w:t xml:space="preserve"> </w:t>
      </w:r>
      <w:r>
        <w:t xml:space="preserve"> </w:t>
      </w:r>
      <w:r w:rsidR="004A47AE">
        <w:t xml:space="preserve">The Trustee agreed that the estate would pay for the examinations and settled the amount of the </w:t>
      </w:r>
      <w:r w:rsidR="009D57ED">
        <w:t xml:space="preserve">legal </w:t>
      </w:r>
      <w:r w:rsidR="004A47AE">
        <w:t>fees at $7,920.00.  The Trustee’s fees were reduced from $13,334 to $9,000 due to the delay in administration of the estate as a result of Trustee’s failure to clarify the terms of the lawyer’s retainer.</w:t>
      </w:r>
    </w:p>
    <w:p w:rsidR="004A47AE" w:rsidRDefault="004A47AE" w:rsidP="00301360"/>
    <w:p w:rsidR="004A47AE" w:rsidRDefault="00471F76" w:rsidP="00301360">
      <w:pPr>
        <w:rPr>
          <w:b/>
          <w:u w:val="single"/>
        </w:rPr>
      </w:pPr>
      <w:r>
        <w:rPr>
          <w:b/>
          <w:u w:val="single"/>
        </w:rPr>
        <w:t>Bankrupt’s liability on Foreclosure Judgment</w:t>
      </w:r>
    </w:p>
    <w:p w:rsidR="00471F76" w:rsidRDefault="00471F76" w:rsidP="00301360">
      <w:pPr>
        <w:rPr>
          <w:b/>
          <w:u w:val="single"/>
        </w:rPr>
      </w:pPr>
    </w:p>
    <w:p w:rsidR="00471F76" w:rsidRDefault="00471F76" w:rsidP="00301360"/>
    <w:p w:rsidR="00471F76" w:rsidRDefault="00471F76" w:rsidP="00301360">
      <w:r>
        <w:rPr>
          <w:i/>
        </w:rPr>
        <w:t xml:space="preserve">Bridgewater Bank v Simms </w:t>
      </w:r>
      <w:r>
        <w:t>2011 BCSC 303 (B.C.S.C. Master Keighley)</w:t>
      </w:r>
    </w:p>
    <w:p w:rsidR="00471F76" w:rsidRPr="00471F76" w:rsidRDefault="00471F76" w:rsidP="00301360"/>
    <w:p w:rsidR="00471F76" w:rsidRDefault="00471F76" w:rsidP="00301360">
      <w:r>
        <w:t xml:space="preserve">The Bankrupts continued to pay their mortgage payments after their assignments but defaulted prior to their discharges.  The Bank sought personal judgment against the Bankrupts for any deficiency </w:t>
      </w:r>
      <w:r w:rsidR="000C65E0">
        <w:t xml:space="preserve">on any sale </w:t>
      </w:r>
      <w:r>
        <w:t xml:space="preserve">in foreclosure proceedings.  </w:t>
      </w:r>
      <w:r w:rsidR="000C65E0">
        <w:t xml:space="preserve">The Court reviewed cases where bankrupts had continued to make payments on secured assets, </w:t>
      </w:r>
      <w:r w:rsidR="009D57ED">
        <w:t xml:space="preserve">and </w:t>
      </w:r>
      <w:r w:rsidR="000C65E0">
        <w:t>indicat</w:t>
      </w:r>
      <w:r w:rsidR="009D57ED">
        <w:t>ed</w:t>
      </w:r>
      <w:r w:rsidR="000C65E0">
        <w:t xml:space="preserve"> that there may be a different result depending on whether the default occurred before or after the bankrupt’s discharge but adjourned the application because no deficiency had yet occurred.</w:t>
      </w:r>
    </w:p>
    <w:p w:rsidR="000C65E0" w:rsidRDefault="000C65E0" w:rsidP="00301360"/>
    <w:p w:rsidR="000C65E0" w:rsidRDefault="00CA0E43" w:rsidP="00301360">
      <w:pPr>
        <w:rPr>
          <w:b/>
          <w:u w:val="single"/>
        </w:rPr>
      </w:pPr>
      <w:r>
        <w:rPr>
          <w:b/>
          <w:u w:val="single"/>
        </w:rPr>
        <w:lastRenderedPageBreak/>
        <w:t>Appeal from Disallowance of Proof of Claim Property</w:t>
      </w:r>
    </w:p>
    <w:p w:rsidR="00CA0E43" w:rsidRPr="00CA0E43" w:rsidRDefault="00CA0E43" w:rsidP="00301360">
      <w:pPr>
        <w:rPr>
          <w:b/>
          <w:u w:val="single"/>
        </w:rPr>
      </w:pPr>
    </w:p>
    <w:p w:rsidR="000C65E0" w:rsidRDefault="000C65E0" w:rsidP="00301360">
      <w:r>
        <w:rPr>
          <w:i/>
        </w:rPr>
        <w:t xml:space="preserve">Sran v Sands &amp; Associates </w:t>
      </w:r>
      <w:r>
        <w:t>2010 BCSC 937 (B.C.S.C. Lynn Smith J.)</w:t>
      </w:r>
    </w:p>
    <w:p w:rsidR="000C65E0" w:rsidRDefault="000C65E0" w:rsidP="00301360"/>
    <w:p w:rsidR="000C65E0" w:rsidRDefault="00991D94" w:rsidP="00301360">
      <w:r>
        <w:t xml:space="preserve">The </w:t>
      </w:r>
      <w:r w:rsidR="00CA0E43">
        <w:t xml:space="preserve">Trustee disallowed </w:t>
      </w:r>
      <w:r>
        <w:t xml:space="preserve">a </w:t>
      </w:r>
      <w:r w:rsidR="00CA0E43">
        <w:t xml:space="preserve">Proof of Claim Property of </w:t>
      </w:r>
      <w:r w:rsidR="00D153C4">
        <w:t xml:space="preserve">the </w:t>
      </w:r>
      <w:r w:rsidR="00CA0E43">
        <w:t xml:space="preserve">Bankrupt’s brother, </w:t>
      </w:r>
      <w:r w:rsidR="00D153C4">
        <w:t xml:space="preserve">who </w:t>
      </w:r>
      <w:r w:rsidR="00CA0E43">
        <w:t>claim</w:t>
      </w:r>
      <w:r w:rsidR="00D153C4">
        <w:t>ed</w:t>
      </w:r>
      <w:r w:rsidR="00CA0E43">
        <w:t xml:space="preserve"> that he </w:t>
      </w:r>
      <w:r w:rsidR="00D66619">
        <w:t>held a</w:t>
      </w:r>
      <w:r w:rsidR="00CA0E43">
        <w:t xml:space="preserve"> </w:t>
      </w:r>
      <w:r w:rsidR="000414C2">
        <w:t xml:space="preserve">50% </w:t>
      </w:r>
      <w:r w:rsidR="00CA0E43">
        <w:t xml:space="preserve">beneficial </w:t>
      </w:r>
      <w:r w:rsidR="000414C2">
        <w:t xml:space="preserve">interest in </w:t>
      </w:r>
      <w:r w:rsidR="00CA0E43">
        <w:t xml:space="preserve">real property registered in the </w:t>
      </w:r>
      <w:r w:rsidR="00D66619">
        <w:t xml:space="preserve">sole </w:t>
      </w:r>
      <w:r w:rsidR="00CA0E43">
        <w:t>name of the Bankrupt</w:t>
      </w:r>
      <w:r w:rsidR="000414C2">
        <w:t xml:space="preserve"> based on an unregistered trust agreement</w:t>
      </w:r>
      <w:r w:rsidR="00CA0E43">
        <w:t>.</w:t>
      </w:r>
      <w:r>
        <w:t xml:space="preserve">  The Court refused to consider further evidence produced by the Appellant after the Trustee’s </w:t>
      </w:r>
      <w:r w:rsidR="00D153C4">
        <w:t>N</w:t>
      </w:r>
      <w:r>
        <w:t xml:space="preserve">otice of </w:t>
      </w:r>
      <w:r w:rsidR="00D153C4">
        <w:t>D</w:t>
      </w:r>
      <w:r>
        <w:t>ispute</w:t>
      </w:r>
      <w:r w:rsidR="00D153C4">
        <w:t>,</w:t>
      </w:r>
      <w:r>
        <w:t xml:space="preserve"> because the evidence had been available previously and the Trustee had carefully explained that the Appellant should </w:t>
      </w:r>
      <w:r w:rsidR="007F5E80">
        <w:t xml:space="preserve">provide </w:t>
      </w:r>
      <w:r>
        <w:t>all possible evidence with his Proof of Claim</w:t>
      </w:r>
      <w:r w:rsidR="007F5E80">
        <w:t xml:space="preserve"> and detailed the issues that needed to be addressed</w:t>
      </w:r>
      <w:r>
        <w:t xml:space="preserve">.  </w:t>
      </w:r>
      <w:r w:rsidR="000414C2">
        <w:t xml:space="preserve">The </w:t>
      </w:r>
      <w:r w:rsidR="008C5169">
        <w:t>C</w:t>
      </w:r>
      <w:r w:rsidR="000414C2">
        <w:t xml:space="preserve">ourt </w:t>
      </w:r>
      <w:r w:rsidR="008731C7">
        <w:t>dismissed the appeal</w:t>
      </w:r>
      <w:r w:rsidR="007F5E80">
        <w:t>,</w:t>
      </w:r>
      <w:r w:rsidR="008731C7">
        <w:t xml:space="preserve"> finding that </w:t>
      </w:r>
      <w:r w:rsidR="000414C2">
        <w:t>that the trust agreement was not valid because it did not define the share of the property held in trust</w:t>
      </w:r>
      <w:r w:rsidR="008C5169">
        <w:t xml:space="preserve">.  The Court also </w:t>
      </w:r>
      <w:r w:rsidR="007F5E80">
        <w:t xml:space="preserve">held </w:t>
      </w:r>
      <w:r w:rsidR="000414C2">
        <w:t>that there was no resulting trust</w:t>
      </w:r>
      <w:r w:rsidR="007F5E80">
        <w:t xml:space="preserve"> because there was consideration for the transfer of the property from the Appellant to the Bankrupt</w:t>
      </w:r>
      <w:proofErr w:type="gramStart"/>
      <w:r w:rsidR="007F5E80">
        <w:t>.</w:t>
      </w:r>
      <w:r w:rsidR="008731C7">
        <w:t>.</w:t>
      </w:r>
      <w:proofErr w:type="gramEnd"/>
    </w:p>
    <w:p w:rsidR="008731C7" w:rsidRDefault="008731C7" w:rsidP="00301360"/>
    <w:p w:rsidR="0033389A" w:rsidRDefault="0033389A" w:rsidP="00301360">
      <w:pPr>
        <w:rPr>
          <w:b/>
          <w:u w:val="single"/>
        </w:rPr>
      </w:pPr>
      <w:r>
        <w:rPr>
          <w:b/>
          <w:u w:val="single"/>
        </w:rPr>
        <w:t>Claims provable in Bankruptcy</w:t>
      </w:r>
    </w:p>
    <w:p w:rsidR="0033389A" w:rsidRPr="0033389A" w:rsidRDefault="0033389A" w:rsidP="00301360">
      <w:pPr>
        <w:rPr>
          <w:b/>
          <w:u w:val="single"/>
        </w:rPr>
      </w:pPr>
    </w:p>
    <w:p w:rsidR="008731C7" w:rsidRDefault="008731C7" w:rsidP="00301360">
      <w:r>
        <w:rPr>
          <w:i/>
        </w:rPr>
        <w:t xml:space="preserve">Rottball v </w:t>
      </w:r>
      <w:proofErr w:type="gramStart"/>
      <w:r>
        <w:rPr>
          <w:i/>
        </w:rPr>
        <w:t xml:space="preserve">Rottball </w:t>
      </w:r>
      <w:r>
        <w:t xml:space="preserve"> 2010</w:t>
      </w:r>
      <w:proofErr w:type="gramEnd"/>
      <w:r>
        <w:t xml:space="preserve"> BCSC 1038 (B.C.S.C. Master Bouck)</w:t>
      </w:r>
    </w:p>
    <w:p w:rsidR="008731C7" w:rsidRDefault="008731C7" w:rsidP="00301360"/>
    <w:p w:rsidR="008731C7" w:rsidRDefault="008731C7" w:rsidP="00301360">
      <w:r>
        <w:t xml:space="preserve">Assessment of wife’s costs in family law case could not proceed because </w:t>
      </w:r>
      <w:r w:rsidR="007F5E80">
        <w:t xml:space="preserve">her </w:t>
      </w:r>
      <w:r>
        <w:t>husband had made an assignment into bankrupt</w:t>
      </w:r>
      <w:r w:rsidR="007F5E80">
        <w:t>cy</w:t>
      </w:r>
      <w:r>
        <w:t xml:space="preserve"> and </w:t>
      </w:r>
      <w:r w:rsidR="007F5E80">
        <w:t xml:space="preserve">the </w:t>
      </w:r>
      <w:r>
        <w:t xml:space="preserve">costs award was </w:t>
      </w:r>
      <w:r w:rsidR="007F5E80">
        <w:t xml:space="preserve">a </w:t>
      </w:r>
      <w:r>
        <w:t xml:space="preserve">claim provable in bankruptcy pursuant to section 69.3 of </w:t>
      </w:r>
      <w:r>
        <w:rPr>
          <w:i/>
        </w:rPr>
        <w:t>BIA</w:t>
      </w:r>
      <w:r>
        <w:t>.</w:t>
      </w:r>
    </w:p>
    <w:p w:rsidR="0033389A" w:rsidRDefault="0033389A" w:rsidP="00301360"/>
    <w:p w:rsidR="0033389A" w:rsidRDefault="0033389A" w:rsidP="00301360">
      <w:pPr>
        <w:rPr>
          <w:b/>
          <w:u w:val="single"/>
        </w:rPr>
      </w:pPr>
      <w:r>
        <w:rPr>
          <w:b/>
          <w:u w:val="single"/>
        </w:rPr>
        <w:t>Consumer Proposals</w:t>
      </w:r>
    </w:p>
    <w:p w:rsidR="0033389A" w:rsidRDefault="0033389A" w:rsidP="00301360">
      <w:pPr>
        <w:rPr>
          <w:b/>
          <w:u w:val="single"/>
        </w:rPr>
      </w:pPr>
    </w:p>
    <w:p w:rsidR="0033389A" w:rsidRDefault="0033389A" w:rsidP="00301360">
      <w:r>
        <w:rPr>
          <w:i/>
        </w:rPr>
        <w:t xml:space="preserve">Re Schryburt </w:t>
      </w:r>
      <w:r>
        <w:t>2011 ONSC 880 (Ont. S.C. de Sousa J.)</w:t>
      </w:r>
    </w:p>
    <w:p w:rsidR="0033389A" w:rsidRDefault="0033389A" w:rsidP="00301360"/>
    <w:p w:rsidR="0033389A" w:rsidRDefault="0033389A" w:rsidP="00301360">
      <w:r>
        <w:t xml:space="preserve">Unsecured creditors, CRA and </w:t>
      </w:r>
      <w:r w:rsidR="007F5E80">
        <w:t xml:space="preserve">a </w:t>
      </w:r>
      <w:r>
        <w:t xml:space="preserve">bank opposed </w:t>
      </w:r>
      <w:r w:rsidR="007F5E80">
        <w:t xml:space="preserve">the </w:t>
      </w:r>
      <w:r>
        <w:t>administrator</w:t>
      </w:r>
      <w:r w:rsidR="007F5E80">
        <w:t>’</w:t>
      </w:r>
      <w:r>
        <w:t xml:space="preserve">s application for approval of </w:t>
      </w:r>
      <w:r w:rsidR="007F5E80">
        <w:t xml:space="preserve">a </w:t>
      </w:r>
      <w:r>
        <w:t xml:space="preserve">joint proposal.  </w:t>
      </w:r>
      <w:r w:rsidR="008C5169">
        <w:t xml:space="preserve">The </w:t>
      </w:r>
      <w:r>
        <w:t>Court was not concerned that debtors became ineligible to file consumer proposals after filing.  However</w:t>
      </w:r>
      <w:r w:rsidR="007F5E80">
        <w:t>,</w:t>
      </w:r>
      <w:r>
        <w:t xml:space="preserve"> the </w:t>
      </w:r>
      <w:r w:rsidR="007F5E80">
        <w:t>C</w:t>
      </w:r>
      <w:r>
        <w:t xml:space="preserve">ourt did not approve </w:t>
      </w:r>
      <w:r w:rsidR="007F5E80">
        <w:t xml:space="preserve">the </w:t>
      </w:r>
      <w:r>
        <w:t xml:space="preserve">proposal because </w:t>
      </w:r>
      <w:r w:rsidR="007F5E80">
        <w:t xml:space="preserve">it was </w:t>
      </w:r>
      <w:r>
        <w:t>unfair since</w:t>
      </w:r>
      <w:r w:rsidR="007F5E80">
        <w:t xml:space="preserve"> the T</w:t>
      </w:r>
      <w:r>
        <w:t xml:space="preserve">rustee had underestimated </w:t>
      </w:r>
      <w:r w:rsidR="007F5E80">
        <w:t xml:space="preserve">the </w:t>
      </w:r>
      <w:r>
        <w:t>value of assets so</w:t>
      </w:r>
      <w:r w:rsidR="007F5E80">
        <w:t xml:space="preserve"> the </w:t>
      </w:r>
      <w:r>
        <w:t>unsecured creditors</w:t>
      </w:r>
      <w:r w:rsidR="00CB5D45">
        <w:t xml:space="preserve"> may receive more in bankruptcy and </w:t>
      </w:r>
      <w:r w:rsidR="007F5E80">
        <w:t>because the T</w:t>
      </w:r>
      <w:r w:rsidR="00CB5D45">
        <w:t>rustee had allowed</w:t>
      </w:r>
      <w:r w:rsidR="007F5E80">
        <w:t xml:space="preserve"> a </w:t>
      </w:r>
      <w:r w:rsidR="00CB5D45">
        <w:t xml:space="preserve">secured creditor to vote with unsecured creditors without </w:t>
      </w:r>
      <w:r w:rsidR="007F5E80">
        <w:t xml:space="preserve">first </w:t>
      </w:r>
      <w:r w:rsidR="00CB5D45">
        <w:t xml:space="preserve">proving </w:t>
      </w:r>
      <w:r w:rsidR="007F5E80">
        <w:t xml:space="preserve">its </w:t>
      </w:r>
      <w:r w:rsidR="00CB5D45">
        <w:t xml:space="preserve">claim or surrendering </w:t>
      </w:r>
      <w:r w:rsidR="007F5E80">
        <w:t xml:space="preserve">its </w:t>
      </w:r>
      <w:r w:rsidR="00CB5D45">
        <w:t>security.</w:t>
      </w:r>
    </w:p>
    <w:p w:rsidR="00CB5D45" w:rsidRDefault="00CB5D45" w:rsidP="00301360"/>
    <w:p w:rsidR="00301360" w:rsidRPr="00301360" w:rsidRDefault="00301360" w:rsidP="00301360"/>
    <w:p w:rsidR="006C68C9" w:rsidRDefault="006C68C9" w:rsidP="006C68C9">
      <w:pPr>
        <w:pStyle w:val="Title"/>
        <w:spacing w:line="360" w:lineRule="auto"/>
        <w:jc w:val="left"/>
      </w:pPr>
      <w:r>
        <w:br w:type="page"/>
      </w:r>
    </w:p>
    <w:p w:rsidR="006C68C9" w:rsidRDefault="006C68C9" w:rsidP="006C68C9">
      <w:pPr>
        <w:pStyle w:val="Title"/>
        <w:spacing w:line="360" w:lineRule="auto"/>
        <w:jc w:val="left"/>
      </w:pPr>
    </w:p>
    <w:p w:rsidR="006C68C9" w:rsidRDefault="006C68C9" w:rsidP="006C68C9">
      <w:pPr>
        <w:pStyle w:val="Title"/>
        <w:spacing w:line="360" w:lineRule="auto"/>
        <w:jc w:val="left"/>
      </w:pPr>
    </w:p>
    <w:p w:rsidR="006C68C9" w:rsidRDefault="006C68C9" w:rsidP="006C68C9">
      <w:pPr>
        <w:pStyle w:val="Title"/>
        <w:spacing w:line="360" w:lineRule="auto"/>
        <w:jc w:val="left"/>
        <w:rPr>
          <w:b w:val="0"/>
          <w:sz w:val="24"/>
        </w:rPr>
      </w:pPr>
    </w:p>
    <w:p w:rsidR="006C68C9" w:rsidRDefault="006C68C9" w:rsidP="006C68C9">
      <w:pPr>
        <w:pStyle w:val="Title"/>
        <w:spacing w:line="360" w:lineRule="auto"/>
        <w:rPr>
          <w:sz w:val="24"/>
          <w:u w:val="single"/>
        </w:rPr>
      </w:pPr>
      <w:r>
        <w:rPr>
          <w:sz w:val="24"/>
          <w:u w:val="single"/>
        </w:rPr>
        <w:t>Contact Information:</w:t>
      </w:r>
    </w:p>
    <w:p w:rsidR="006C68C9" w:rsidRDefault="006C68C9" w:rsidP="006C68C9">
      <w:pPr>
        <w:pStyle w:val="Title"/>
        <w:spacing w:line="360" w:lineRule="auto"/>
        <w:rPr>
          <w:sz w:val="24"/>
          <w:u w:val="single"/>
        </w:rPr>
      </w:pPr>
    </w:p>
    <w:p w:rsidR="006C68C9" w:rsidRDefault="006C68C9" w:rsidP="006C68C9">
      <w:pPr>
        <w:pStyle w:val="Title"/>
        <w:spacing w:line="360" w:lineRule="auto"/>
        <w:rPr>
          <w:b w:val="0"/>
          <w:sz w:val="24"/>
        </w:rPr>
      </w:pPr>
      <w:smartTag w:uri="urn:schemas-microsoft-com:office:smarttags" w:element="PersonName">
        <w:r>
          <w:rPr>
            <w:b w:val="0"/>
            <w:sz w:val="24"/>
          </w:rPr>
          <w:t>Katherine Wellburn</w:t>
        </w:r>
      </w:smartTag>
      <w:r>
        <w:rPr>
          <w:b w:val="0"/>
          <w:sz w:val="24"/>
        </w:rPr>
        <w:t xml:space="preserve">, </w:t>
      </w:r>
      <w:smartTag w:uri="urn:schemas-microsoft-com:office:smarttags" w:element="place">
        <w:smartTag w:uri="urn:schemas-microsoft-com:office:smarttags" w:element="City">
          <w:r>
            <w:rPr>
              <w:b w:val="0"/>
              <w:sz w:val="24"/>
            </w:rPr>
            <w:t>Murray</w:t>
          </w:r>
        </w:smartTag>
      </w:smartTag>
      <w:r>
        <w:rPr>
          <w:b w:val="0"/>
          <w:sz w:val="24"/>
        </w:rPr>
        <w:t xml:space="preserve"> Jamieson</w:t>
      </w:r>
    </w:p>
    <w:p w:rsidR="006C68C9" w:rsidRDefault="006C68C9" w:rsidP="006C68C9">
      <w:pPr>
        <w:pStyle w:val="Title"/>
        <w:spacing w:line="360" w:lineRule="auto"/>
        <w:rPr>
          <w:b w:val="0"/>
          <w:sz w:val="24"/>
        </w:rPr>
      </w:pPr>
      <w:hyperlink r:id="rId4" w:history="1">
        <w:r>
          <w:rPr>
            <w:rStyle w:val="Hyperlink"/>
          </w:rPr>
          <w:t>kwellb</w:t>
        </w:r>
        <w:bookmarkStart w:id="0" w:name="_Hlt197744926"/>
        <w:r>
          <w:rPr>
            <w:rStyle w:val="Hyperlink"/>
          </w:rPr>
          <w:t>u</w:t>
        </w:r>
        <w:bookmarkEnd w:id="0"/>
        <w:r>
          <w:rPr>
            <w:rStyle w:val="Hyperlink"/>
          </w:rPr>
          <w:t>rn@murrayjamieson.com</w:t>
        </w:r>
      </w:hyperlink>
    </w:p>
    <w:p w:rsidR="006C68C9" w:rsidRDefault="006C68C9" w:rsidP="006C68C9">
      <w:pPr>
        <w:pStyle w:val="Title"/>
        <w:spacing w:line="360" w:lineRule="auto"/>
        <w:rPr>
          <w:b w:val="0"/>
          <w:sz w:val="24"/>
        </w:rPr>
      </w:pPr>
      <w:r>
        <w:rPr>
          <w:b w:val="0"/>
          <w:sz w:val="24"/>
        </w:rPr>
        <w:t>604-688-0775</w:t>
      </w:r>
    </w:p>
    <w:p w:rsidR="006C68C9" w:rsidRPr="003C76FE" w:rsidRDefault="006C68C9" w:rsidP="00F9486A">
      <w:pPr>
        <w:spacing w:line="360" w:lineRule="auto"/>
      </w:pPr>
    </w:p>
    <w:sectPr w:rsidR="006C68C9" w:rsidRPr="003C76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97F"/>
    <w:rsid w:val="00000112"/>
    <w:rsid w:val="00003E6E"/>
    <w:rsid w:val="00027A3A"/>
    <w:rsid w:val="000414C2"/>
    <w:rsid w:val="00050831"/>
    <w:rsid w:val="00057A87"/>
    <w:rsid w:val="00096471"/>
    <w:rsid w:val="000A3506"/>
    <w:rsid w:val="000C52E2"/>
    <w:rsid w:val="000C65E0"/>
    <w:rsid w:val="000D54DE"/>
    <w:rsid w:val="00117766"/>
    <w:rsid w:val="00135DD5"/>
    <w:rsid w:val="0014218D"/>
    <w:rsid w:val="00156B37"/>
    <w:rsid w:val="001931D1"/>
    <w:rsid w:val="001B761D"/>
    <w:rsid w:val="001E5812"/>
    <w:rsid w:val="002316B3"/>
    <w:rsid w:val="002658A1"/>
    <w:rsid w:val="00275AFA"/>
    <w:rsid w:val="00276976"/>
    <w:rsid w:val="00283A89"/>
    <w:rsid w:val="002928B4"/>
    <w:rsid w:val="00294AE1"/>
    <w:rsid w:val="002D1448"/>
    <w:rsid w:val="002E1AB3"/>
    <w:rsid w:val="00301360"/>
    <w:rsid w:val="0033389A"/>
    <w:rsid w:val="003342A1"/>
    <w:rsid w:val="003343C5"/>
    <w:rsid w:val="003429D2"/>
    <w:rsid w:val="00345588"/>
    <w:rsid w:val="00370A6F"/>
    <w:rsid w:val="003813BE"/>
    <w:rsid w:val="0038640F"/>
    <w:rsid w:val="003A44E9"/>
    <w:rsid w:val="003C76FE"/>
    <w:rsid w:val="003E0D32"/>
    <w:rsid w:val="00415FD9"/>
    <w:rsid w:val="00416D09"/>
    <w:rsid w:val="00417CBF"/>
    <w:rsid w:val="0044545E"/>
    <w:rsid w:val="00471F76"/>
    <w:rsid w:val="00475443"/>
    <w:rsid w:val="00484E05"/>
    <w:rsid w:val="00494F67"/>
    <w:rsid w:val="004A47AE"/>
    <w:rsid w:val="004C1315"/>
    <w:rsid w:val="004F0B39"/>
    <w:rsid w:val="0050344F"/>
    <w:rsid w:val="0050397F"/>
    <w:rsid w:val="0052272C"/>
    <w:rsid w:val="00541990"/>
    <w:rsid w:val="005C0AE0"/>
    <w:rsid w:val="00617E7D"/>
    <w:rsid w:val="00637964"/>
    <w:rsid w:val="006A4B98"/>
    <w:rsid w:val="006C03E1"/>
    <w:rsid w:val="006C68C9"/>
    <w:rsid w:val="006E6425"/>
    <w:rsid w:val="006F3862"/>
    <w:rsid w:val="00711028"/>
    <w:rsid w:val="00756BA4"/>
    <w:rsid w:val="007F5E80"/>
    <w:rsid w:val="008152F4"/>
    <w:rsid w:val="00827507"/>
    <w:rsid w:val="008432F4"/>
    <w:rsid w:val="008709A1"/>
    <w:rsid w:val="008731C7"/>
    <w:rsid w:val="008801B1"/>
    <w:rsid w:val="008A15DC"/>
    <w:rsid w:val="008C5169"/>
    <w:rsid w:val="008F20FF"/>
    <w:rsid w:val="00913807"/>
    <w:rsid w:val="00924763"/>
    <w:rsid w:val="00972438"/>
    <w:rsid w:val="00991D94"/>
    <w:rsid w:val="009B63EE"/>
    <w:rsid w:val="009C3F09"/>
    <w:rsid w:val="009D57ED"/>
    <w:rsid w:val="009E14D7"/>
    <w:rsid w:val="00A304EE"/>
    <w:rsid w:val="00A33554"/>
    <w:rsid w:val="00A37915"/>
    <w:rsid w:val="00A8766B"/>
    <w:rsid w:val="00A97E00"/>
    <w:rsid w:val="00AA076E"/>
    <w:rsid w:val="00AD3093"/>
    <w:rsid w:val="00AD454B"/>
    <w:rsid w:val="00AF2080"/>
    <w:rsid w:val="00B05FB3"/>
    <w:rsid w:val="00B321B4"/>
    <w:rsid w:val="00B53F6E"/>
    <w:rsid w:val="00B54B25"/>
    <w:rsid w:val="00B816F7"/>
    <w:rsid w:val="00B959A7"/>
    <w:rsid w:val="00BB7C22"/>
    <w:rsid w:val="00C30730"/>
    <w:rsid w:val="00C41B20"/>
    <w:rsid w:val="00C64569"/>
    <w:rsid w:val="00C863A1"/>
    <w:rsid w:val="00C87E8A"/>
    <w:rsid w:val="00C92026"/>
    <w:rsid w:val="00C96C8B"/>
    <w:rsid w:val="00CA0E43"/>
    <w:rsid w:val="00CB5D45"/>
    <w:rsid w:val="00CE63A3"/>
    <w:rsid w:val="00CF34A2"/>
    <w:rsid w:val="00D06BBC"/>
    <w:rsid w:val="00D153C4"/>
    <w:rsid w:val="00D66619"/>
    <w:rsid w:val="00D91E9E"/>
    <w:rsid w:val="00DB0074"/>
    <w:rsid w:val="00DB3021"/>
    <w:rsid w:val="00DB5DEF"/>
    <w:rsid w:val="00E10600"/>
    <w:rsid w:val="00F06313"/>
    <w:rsid w:val="00F77A0F"/>
    <w:rsid w:val="00F832AF"/>
    <w:rsid w:val="00F834E4"/>
    <w:rsid w:val="00F9486A"/>
    <w:rsid w:val="00FB528F"/>
    <w:rsid w:val="00FC7E94"/>
    <w:rsid w:val="00FE15FD"/>
    <w:rsid w:val="00FE2BBE"/>
    <w:rsid w:val="00FE6DC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C68C9"/>
    <w:pPr>
      <w:jc w:val="center"/>
    </w:pPr>
    <w:rPr>
      <w:b/>
      <w:sz w:val="28"/>
      <w:szCs w:val="20"/>
    </w:rPr>
  </w:style>
  <w:style w:type="character" w:styleId="Hyperlink">
    <w:name w:val="Hyperlink"/>
    <w:basedOn w:val="DefaultParagraphFont"/>
    <w:rsid w:val="006C68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ellburn@murrayjamie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1197</Words>
  <Characters>6389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CAIRP 2010 PERSONAL INSOLVENCY UPDATE</vt:lpstr>
    </vt:vector>
  </TitlesOfParts>
  <Company/>
  <LinksUpToDate>false</LinksUpToDate>
  <CharactersWithSpaces>7571</CharactersWithSpaces>
  <SharedDoc>false</SharedDoc>
  <HLinks>
    <vt:vector size="6" baseType="variant">
      <vt:variant>
        <vt:i4>2686985</vt:i4>
      </vt:variant>
      <vt:variant>
        <vt:i4>0</vt:i4>
      </vt:variant>
      <vt:variant>
        <vt:i4>0</vt:i4>
      </vt:variant>
      <vt:variant>
        <vt:i4>5</vt:i4>
      </vt:variant>
      <vt:variant>
        <vt:lpwstr>mailto:kwellburn@murrayjamieson.com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CAIRP 2010 PERSONAL INSOLVENCY UPDATE</dc:title>
  <dc:creator>Valerie</dc:creator>
  <cp:lastModifiedBy>Jay</cp:lastModifiedBy>
  <cp:revision>2</cp:revision>
  <dcterms:created xsi:type="dcterms:W3CDTF">2015-10-26T17:49:00Z</dcterms:created>
  <dcterms:modified xsi:type="dcterms:W3CDTF">2015-10-26T17:49:00Z</dcterms:modified>
</cp:coreProperties>
</file>